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11122E" w:rsidRPr="00AD5376" w:rsidTr="007A3F9D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11122E" w:rsidRPr="00AD5376" w:rsidTr="007A3F9D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56</w:t>
            </w:r>
            <w:r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1èr</w:t>
            </w:r>
            <w:r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E" w:rsidRPr="00AD5376" w:rsidRDefault="003641D8" w:rsidP="007A3F9D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17-05-2007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7A3F9D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Mike Murphy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E" w:rsidRPr="00AD5376" w:rsidRDefault="0011122E" w:rsidP="0011122E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22E" w:rsidRPr="00AD5376" w:rsidRDefault="0011122E" w:rsidP="007A3F9D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>
              <w:rPr>
                <w:rFonts w:eastAsia="Calibri"/>
                <w:bCs/>
                <w:sz w:val="20"/>
                <w:szCs w:val="20"/>
                <w:lang w:val="en-CA"/>
              </w:rPr>
              <w:t>L</w:t>
            </w:r>
          </w:p>
        </w:tc>
      </w:tr>
    </w:tbl>
    <w:p w:rsidR="004E271B" w:rsidRDefault="004E271B"/>
    <w:p w:rsidR="0011122E" w:rsidRPr="0055156C" w:rsidRDefault="0011122E" w:rsidP="0011122E">
      <w:pPr>
        <w:jc w:val="both"/>
        <w:rPr>
          <w:i/>
          <w:lang w:val="en-CA"/>
        </w:rPr>
      </w:pPr>
      <w:r w:rsidRPr="0055156C">
        <w:rPr>
          <w:i/>
          <w:lang w:val="en-CA"/>
        </w:rPr>
        <w:t>(Le discours est bilingue)</w:t>
      </w:r>
    </w:p>
    <w:p w:rsidR="0011122E" w:rsidRDefault="0011122E"/>
    <w:p w:rsidR="00642BAF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b/>
          <w:bCs/>
          <w:lang w:val="en-CA" w:eastAsia="en-US"/>
        </w:rPr>
        <w:t>Department of Health</w:t>
      </w:r>
      <w:r w:rsidR="00642BAF" w:rsidRPr="006060E5">
        <w:rPr>
          <w:rFonts w:eastAsiaTheme="minorHAnsi"/>
          <w:b/>
          <w:bCs/>
          <w:lang w:val="en-CA" w:eastAsia="en-US"/>
        </w:rPr>
        <w:t xml:space="preserve"> </w:t>
      </w:r>
      <w:r w:rsidRPr="006060E5">
        <w:rPr>
          <w:rFonts w:eastAsiaTheme="minorHAnsi"/>
          <w:b/>
          <w:bCs/>
          <w:lang w:val="en-CA" w:eastAsia="en-US"/>
        </w:rPr>
        <w:t xml:space="preserve">Hon. Mr. Murphy, </w:t>
      </w:r>
      <w:r w:rsidRPr="006060E5">
        <w:rPr>
          <w:rFonts w:eastAsiaTheme="minorHAnsi"/>
          <w:lang w:val="en-CA" w:eastAsia="en-US"/>
        </w:rPr>
        <w:t xml:space="preserve">after all items under the Department of Health had been presented: </w:t>
      </w:r>
    </w:p>
    <w:p w:rsidR="00146D30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I am very</w:t>
      </w:r>
      <w:r w:rsidR="00642BAF" w:rsidRPr="006060E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pleased today to share with New Brunswickers my department’s budget estimates for the 2007-08</w:t>
      </w:r>
      <w:r w:rsidR="006060E5" w:rsidRPr="006060E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fiscal year. This year, Ordinary Account and capital spending in the Department of Health will reach</w:t>
      </w:r>
      <w:r w:rsidR="006060E5" w:rsidRPr="006060E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a record level of more than $2.1 billion. Our Ordinary Account budget is $2.054 billion. In addition,</w:t>
      </w:r>
      <w:r w:rsidR="006060E5" w:rsidRPr="006060E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we will invest another $60.47 million in capital construction projects and equipment.</w:t>
      </w:r>
      <w:r w:rsidR="006060E5" w:rsidRPr="006060E5">
        <w:rPr>
          <w:rFonts w:eastAsiaTheme="minorHAnsi"/>
          <w:lang w:val="en-CA" w:eastAsia="en-US"/>
        </w:rPr>
        <w:t xml:space="preserve"> </w:t>
      </w:r>
    </w:p>
    <w:p w:rsidR="00146D30" w:rsidRDefault="00146D30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46D30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I would now like to highlight some of the specific investments we will make in 2007-08 as part of</w:t>
      </w:r>
      <w:r w:rsidR="006060E5" w:rsidRPr="006060E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 xml:space="preserve">our </w:t>
      </w:r>
      <w:r w:rsidRPr="006060E5">
        <w:rPr>
          <w:rFonts w:eastAsiaTheme="minorHAnsi"/>
          <w:i/>
          <w:iCs/>
          <w:lang w:val="en-CA" w:eastAsia="en-US"/>
        </w:rPr>
        <w:t xml:space="preserve">Charter for Change. </w:t>
      </w:r>
      <w:r w:rsidRPr="006060E5">
        <w:rPr>
          <w:rFonts w:eastAsiaTheme="minorHAnsi"/>
          <w:lang w:val="en-CA" w:eastAsia="en-US"/>
        </w:rPr>
        <w:t>First, on e-health, our government recognizes the vital role of electronic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information and computer technology in improving the delivery and management of health care in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our province. Our long-term vision is: one patient, one record. This system will link all patient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information from across the health care system—from hospitals, your family doctor, your local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pharmacy, and elsewhere. They will all be linked as one record. With this information, authorized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health care providers will be able to access individuals’ complete health records to provide them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with the care they need when they need it. Doctors will have immediate access to your prior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conditions in an emergency situation. They will have access to previous test results as well. They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will know if you are allergic to a certain drug, and they will know any type of precondition that you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have had. It will save lives, and, in time, it will save money.</w:t>
      </w:r>
      <w:r w:rsidR="00146D30">
        <w:rPr>
          <w:rFonts w:eastAsiaTheme="minorHAnsi"/>
          <w:lang w:val="en-CA" w:eastAsia="en-US"/>
        </w:rPr>
        <w:t xml:space="preserve"> </w:t>
      </w:r>
    </w:p>
    <w:p w:rsidR="00146D30" w:rsidRDefault="00146D30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641D8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However, it is not cheap. The cost is $250 million, a massive investment for a province of our size.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We have to do it; otherwise, our health system will lag behind that of the other provinces. Our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government must allow this to proceed. That is why, this year, we will invest $27 million in new and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ongoing e-health projects. This will include $8 million in a provincial diagnostic imaging archival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system that will store, for the duration of a person’s life, all their diagnostic imaging tests. Having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a provincewide system such as this will reduce the duplication of tests, which will save money and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reduce wait times for tests that are needed.</w:t>
      </w:r>
    </w:p>
    <w:p w:rsidR="00146D30" w:rsidRPr="006060E5" w:rsidRDefault="00146D30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641D8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This year, we will also invest more than $5 million in key components of the one-patient, one-record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system. This includes an electronic health record system to link all hospitals, and a patient registry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that will tie together patient information from various clinical systems. This year, we will also invest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 a new Medicare information system, a prescription drug monitoring system, and other new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systems within the department and the regional health authorities. Our government is committed to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investing in e-health to ensure that New Brunswickers have a health system that remains the equal</w:t>
      </w:r>
      <w:r w:rsidR="00146D30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of others in Canada, and, in time, exceeds them all.</w:t>
      </w:r>
    </w:p>
    <w:p w:rsidR="00146D30" w:rsidRPr="006060E5" w:rsidRDefault="00146D30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641D8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Un autre engagement de notre gouvernement vise à offrir à la population néo-brunswickoise l’accès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à des services d’ambulance de qualité et dotés d’un personnel professionnel bien formé. Nous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croyons que le regroupement des services d’ambulance sous une seule entreprise du secteur public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nous offrira une plus grande possibilité d’améliorer les services d’ambulance.</w:t>
      </w:r>
    </w:p>
    <w:p w:rsidR="00146D30" w:rsidRDefault="00146D30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46D30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lastRenderedPageBreak/>
        <w:t>Mon ministère négocie actuellement avec l’entreprise Croix Bleue Medavie en vue d’assurer la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gestion quotidienne de ce système. Ces négociations sont presque terminées.</w:t>
      </w:r>
      <w:r w:rsidR="00146D30">
        <w:rPr>
          <w:rFonts w:eastAsiaTheme="minorHAnsi"/>
          <w:lang w:val="fr-FR" w:eastAsia="en-US"/>
        </w:rPr>
        <w:t xml:space="preserve"> </w:t>
      </w:r>
    </w:p>
    <w:p w:rsidR="00146D30" w:rsidRDefault="00146D30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641D8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Croix Bleue Medavie exploite le système d’ambulance en Nouvelle-Écosse. Ce système est reconnu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comme l’un des meilleurs au monde. Nous nous sommes fixés le même objectif pour le système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d’ambulance que nous voulons établir ici. Pour ce faire, nous consacrerons une somme additionnelle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de 13,7 millions de dollars pour les services d’ambulance afin de soutenir la transition à un système</w:t>
      </w:r>
      <w:r w:rsidR="00146D30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unique d’exploitation.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641D8" w:rsidRPr="00886F04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Ce financement sera utilisé pour améliorer le système, comme offrir un plus grand nombre d’heures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de couverture sur place et plus de véhicules, acheter des systèmes et de l’équipement nouveaux,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aider au recrutement des travailleurs paramédicaux et acheter les actifs des exploitants de services</w:t>
      </w:r>
      <w:r w:rsidR="00886F04">
        <w:rPr>
          <w:rFonts w:eastAsiaTheme="minorHAnsi"/>
          <w:lang w:val="fr-FR" w:eastAsia="en-US"/>
        </w:rPr>
        <w:t xml:space="preserve"> </w:t>
      </w:r>
      <w:r w:rsidRPr="00886F04">
        <w:rPr>
          <w:rFonts w:eastAsiaTheme="minorHAnsi"/>
          <w:lang w:val="fr-FR" w:eastAsia="en-US"/>
        </w:rPr>
        <w:t>d’ambulance actuels.</w:t>
      </w:r>
    </w:p>
    <w:p w:rsidR="001C56A1" w:rsidRPr="00886F04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C56A1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New Brunswick’s Extra-Mural Program is recognized as a world leader in the delivery of health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 xml:space="preserve">services to residents in their homes. In the </w:t>
      </w:r>
      <w:r w:rsidRPr="006060E5">
        <w:rPr>
          <w:rFonts w:eastAsiaTheme="minorHAnsi"/>
          <w:i/>
          <w:iCs/>
          <w:lang w:val="en-CA" w:eastAsia="en-US"/>
        </w:rPr>
        <w:t xml:space="preserve">Charter for Change, </w:t>
      </w:r>
      <w:r w:rsidRPr="006060E5">
        <w:rPr>
          <w:rFonts w:eastAsiaTheme="minorHAnsi"/>
          <w:lang w:val="en-CA" w:eastAsia="en-US"/>
        </w:rPr>
        <w:t>we made a commitment to enhance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the Extra-Mural Program throughout the province. Today, I am pleased to announce that we will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invest an additional $1.65 million annually to enhance palliative care for New Brunswickers in their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homes. This funding will include additional staff.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C56A1" w:rsidRPr="00886F04" w:rsidRDefault="003641D8" w:rsidP="006060E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  <w:r w:rsidRPr="006060E5">
        <w:rPr>
          <w:rFonts w:eastAsiaTheme="minorHAnsi"/>
          <w:lang w:val="en-CA" w:eastAsia="en-US"/>
        </w:rPr>
        <w:t>Our government believes New Brunswickers should receive health care, including palliative care,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 their communities. That is why, this year, we will invest more than $1 million to provide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palliative care services in the communities of Dalhousie and Caraquet. This will involve the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placement of four palliative care beds in each community, and includes renovation and staffing</w:t>
      </w:r>
      <w:r w:rsidR="00886F04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 xml:space="preserve">costs. This investment fulfils another commitment made in our </w:t>
      </w:r>
      <w:r w:rsidRPr="006060E5">
        <w:rPr>
          <w:rFonts w:eastAsiaTheme="minorHAnsi"/>
          <w:i/>
          <w:iCs/>
          <w:lang w:val="en-CA" w:eastAsia="en-US"/>
        </w:rPr>
        <w:t>Charter for Change.</w:t>
      </w:r>
    </w:p>
    <w:p w:rsidR="001C56A1" w:rsidRPr="00886F04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641D8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Bon nombre de personnes au Nouveau-Brunswick souffrent de maladies chroniques qui, si elles ne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sont pas bien gérées, entraîneront une détérioration de leur condition. Notre gouvernement s’engage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à soutenir toutes les personnes du Nouveau-Brunswick souffrant de maladies chroniques afin de les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aider à mieux gérer leur condition. Cette initiative leur permettra d’améliorer leur qualité de vie et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contribuera à réduire les demandes sur le système de santé.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C56A1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Ainsi, nous sommes résolus à développer un cadre stratégique pour les soins chroniques qui aidera</w:t>
      </w:r>
      <w:r w:rsidR="00886F04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les gens de la province à mieux gérer leur condition. C’est pourquoi nous consacrons 500 000 $ dans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le budget de cette année en vue d’améliorer l’accès aux médicaments, aux fournitures et aux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instruments pour les gens souffrant du diabète.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641D8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Toute personne qui a vu un membre de sa famille ou un ami atteint du cancer connaîtra l’énorme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stress vécu par ces gens et leurs familles. Ces personnes ne devraient pas se préoccuper d’avoir à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effectuer de longs voyages pour obtenir des traitements qui peuvent être offerts localement.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641D8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t>Voilà pourquoi notre gouvernement a récemment approuvé trois nouvelles cliniques d’oncologie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qui serviront les patients des régions de Campbellton, de Bathurst et de Caraquet. Ces régions étaient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les seuls endroits dans la province qui n’offraient pas de service de chimiothérapie aux patients.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C56A1" w:rsidRPr="00A7130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060E5">
        <w:rPr>
          <w:rFonts w:eastAsiaTheme="minorHAnsi"/>
          <w:lang w:val="fr-FR" w:eastAsia="en-US"/>
        </w:rPr>
        <w:lastRenderedPageBreak/>
        <w:t>J’ai le plaisir d’annoncer aujourd’hui un financement de 3,8 millions de dollars pour soutenir ces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cliniques. Cette somme d’argent comprend 800 000 $ pour les travaux de rénovation à l’Hôpital</w:t>
      </w:r>
      <w:r w:rsidR="00A71305">
        <w:rPr>
          <w:rFonts w:eastAsiaTheme="minorHAnsi"/>
          <w:lang w:val="fr-FR" w:eastAsia="en-US"/>
        </w:rPr>
        <w:t xml:space="preserve"> </w:t>
      </w:r>
      <w:r w:rsidRPr="006060E5">
        <w:rPr>
          <w:rFonts w:eastAsiaTheme="minorHAnsi"/>
          <w:lang w:val="fr-FR" w:eastAsia="en-US"/>
        </w:rPr>
        <w:t>régional de Campbellton et 3 millions de dollars pour les frais d’exploitation de ces cliniques.</w:t>
      </w:r>
    </w:p>
    <w:p w:rsidR="001C56A1" w:rsidRPr="00A71305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641D8" w:rsidRPr="006060E5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I would now like to address the capital budget for 2007-08. This year, we will invest $60.47 million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 construction and new equipment for the health care system. The major projects are as follows: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An amount of $17 million will be invested to complete the emergency room, ambulatory care, and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laboratory addition at the Moncton Hospital, which was commenced a few years ago. An amount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of $6.75 million will be invested to finish building the new Waterville hospital. In addition, we have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budgeted $13 million to cover increased staffing and equipment costs for the new hospital.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C56A1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We will complete the new surgical suite at the Chaleur Regional Hospital in Bathurst, at a cost of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$3.9 million and another $1.5 million for equipment. A sum of $2.1 million will be invested in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construction related to the new fixed MRI unit at the Dr. Everett Chalmers Hospital in Fredericton.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In addition, we will partner with the Chalmers Hospital Foundation to purchase a new MRI unit, at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a cost of $1.9 million, of which we will pay $900 000 and the foundation will pay $1 million. A sum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of $1 million will be invested at the Dr. Georges L. Dumont Hospital in Moncton for renovations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related to the training program for Francophone medical students in my city.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C56A1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Further, recently, we have all heard of the need for additional forensic beds to address the additional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number of patients being sent to the Restigouche Hospital Centre for court-ordered assessments.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This year, we will invest $3.4 million to carry out the renovations that are needed for the new 20-bed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forensic unit and a 2-bed seclusion area.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C56A1" w:rsidRDefault="003641D8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060E5">
        <w:rPr>
          <w:rFonts w:eastAsiaTheme="minorHAnsi"/>
          <w:lang w:val="en-CA" w:eastAsia="en-US"/>
        </w:rPr>
        <w:t>Finally, I am pleased today to announce that $1 million has been budgeted this year for planning and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design related to a new emergency department at the Saint John Regional Hospital. This project will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be undertaken in an expedited manner in order to meet the demand for emergency services in our</w:t>
      </w:r>
      <w:r w:rsidR="00A71305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province’s largest hospital.</w:t>
      </w:r>
    </w:p>
    <w:p w:rsidR="001C56A1" w:rsidRDefault="001C56A1" w:rsidP="006060E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641D8" w:rsidRPr="006060E5" w:rsidRDefault="003641D8" w:rsidP="000E76BA">
      <w:pPr>
        <w:autoSpaceDE w:val="0"/>
        <w:autoSpaceDN w:val="0"/>
        <w:adjustRightInd w:val="0"/>
        <w:jc w:val="both"/>
        <w:rPr>
          <w:lang w:val="en-CA"/>
        </w:rPr>
      </w:pPr>
      <w:r w:rsidRPr="006060E5">
        <w:rPr>
          <w:rFonts w:eastAsiaTheme="minorHAnsi"/>
          <w:lang w:val="en-CA" w:eastAsia="en-US"/>
        </w:rPr>
        <w:t xml:space="preserve">These are the major investments that will be made in health care this year. </w:t>
      </w:r>
      <w:r w:rsidRPr="001C56A1">
        <w:rPr>
          <w:rFonts w:eastAsiaTheme="minorHAnsi"/>
          <w:lang w:val="en-CA" w:eastAsia="en-US"/>
        </w:rPr>
        <w:t>If I have a moment, I will</w:t>
      </w:r>
      <w:r w:rsidR="000E76BA">
        <w:rPr>
          <w:rFonts w:eastAsiaTheme="minorHAnsi"/>
          <w:lang w:val="en-CA" w:eastAsia="en-US"/>
        </w:rPr>
        <w:t xml:space="preserve"> </w:t>
      </w:r>
      <w:r w:rsidRPr="006060E5">
        <w:rPr>
          <w:rFonts w:eastAsiaTheme="minorHAnsi"/>
          <w:lang w:val="en-CA" w:eastAsia="en-US"/>
        </w:rPr>
        <w:t>be pleased to answer any questions that my colleagues on the other side of the House might have.</w:t>
      </w:r>
    </w:p>
    <w:sectPr w:rsidR="003641D8" w:rsidRPr="006060E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11122E"/>
    <w:rsid w:val="000E76BA"/>
    <w:rsid w:val="0011122E"/>
    <w:rsid w:val="00146D30"/>
    <w:rsid w:val="001C56A1"/>
    <w:rsid w:val="003265E5"/>
    <w:rsid w:val="003641D8"/>
    <w:rsid w:val="004E271B"/>
    <w:rsid w:val="005B2EF7"/>
    <w:rsid w:val="006060E5"/>
    <w:rsid w:val="00616728"/>
    <w:rsid w:val="00642BAF"/>
    <w:rsid w:val="00761221"/>
    <w:rsid w:val="00886F04"/>
    <w:rsid w:val="00A71305"/>
    <w:rsid w:val="00D6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2E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1389</Words>
  <Characters>7640</Characters>
  <Application>Microsoft Office Word</Application>
  <DocSecurity>0</DocSecurity>
  <Lines>63</Lines>
  <Paragraphs>18</Paragraphs>
  <ScaleCrop>false</ScaleCrop>
  <Company>Acer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2013-02-27T13:56:00Z</dcterms:created>
  <dcterms:modified xsi:type="dcterms:W3CDTF">2013-02-27T14:13:00Z</dcterms:modified>
</cp:coreProperties>
</file>