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1135"/>
        <w:gridCol w:w="1135"/>
        <w:gridCol w:w="1135"/>
        <w:gridCol w:w="1420"/>
      </w:tblGrid>
      <w:tr w:rsidR="00A009E0" w:rsidTr="009C06A1">
        <w:trPr>
          <w:jc w:val="center"/>
        </w:trPr>
        <w:tc>
          <w:tcPr>
            <w:tcW w:w="1444" w:type="dxa"/>
            <w:tcBorders>
              <w:top w:val="nil"/>
              <w:left w:val="nil"/>
              <w:bottom w:val="double" w:sz="4" w:space="0" w:color="auto"/>
              <w:right w:val="single" w:sz="4" w:space="0" w:color="auto"/>
            </w:tcBorders>
            <w:vAlign w:val="center"/>
            <w:hideMark/>
          </w:tcPr>
          <w:p w:rsidR="00A009E0" w:rsidRDefault="00A009E0" w:rsidP="009C06A1">
            <w:pPr>
              <w:spacing w:after="100" w:line="240" w:lineRule="auto"/>
              <w:jc w:val="center"/>
              <w:rPr>
                <w:rFonts w:ascii="Times New Roman" w:hAnsi="Times New Roman" w:cs="Times New Roman"/>
                <w:b/>
                <w:bCs/>
                <w:i/>
                <w:sz w:val="20"/>
                <w:szCs w:val="20"/>
              </w:rPr>
            </w:pPr>
            <w:bookmarkStart w:id="0" w:name="_GoBack"/>
            <w:bookmarkEnd w:id="0"/>
            <w:r>
              <w:rPr>
                <w:rFonts w:ascii="Times New Roman" w:hAnsi="Times New Roman" w:cs="Times New Roman"/>
                <w:b/>
                <w:bCs/>
                <w:i/>
                <w:sz w:val="20"/>
                <w:szCs w:val="20"/>
              </w:rPr>
              <w:t>Province</w:t>
            </w:r>
          </w:p>
        </w:tc>
        <w:tc>
          <w:tcPr>
            <w:tcW w:w="708" w:type="dxa"/>
            <w:tcBorders>
              <w:top w:val="nil"/>
              <w:left w:val="single" w:sz="4" w:space="0" w:color="auto"/>
              <w:bottom w:val="double" w:sz="4" w:space="0" w:color="auto"/>
              <w:right w:val="single" w:sz="4" w:space="0" w:color="auto"/>
            </w:tcBorders>
            <w:vAlign w:val="center"/>
            <w:hideMark/>
          </w:tcPr>
          <w:p w:rsidR="00A009E0" w:rsidRDefault="00A009E0" w:rsidP="009C06A1">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rsidR="00A009E0" w:rsidRDefault="00A009E0" w:rsidP="009C06A1">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Session</w:t>
            </w:r>
          </w:p>
        </w:tc>
        <w:tc>
          <w:tcPr>
            <w:tcW w:w="992" w:type="dxa"/>
            <w:tcBorders>
              <w:top w:val="nil"/>
              <w:left w:val="single" w:sz="4" w:space="0" w:color="auto"/>
              <w:bottom w:val="double" w:sz="4" w:space="0" w:color="auto"/>
              <w:right w:val="single" w:sz="4" w:space="0" w:color="auto"/>
            </w:tcBorders>
            <w:vAlign w:val="center"/>
            <w:hideMark/>
          </w:tcPr>
          <w:p w:rsidR="00A009E0" w:rsidRDefault="00A009E0" w:rsidP="009C06A1">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A009E0" w:rsidRDefault="00A009E0" w:rsidP="009C06A1">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Date du discours</w:t>
            </w:r>
          </w:p>
        </w:tc>
        <w:tc>
          <w:tcPr>
            <w:tcW w:w="1134" w:type="dxa"/>
            <w:tcBorders>
              <w:top w:val="nil"/>
              <w:left w:val="single" w:sz="4" w:space="0" w:color="auto"/>
              <w:bottom w:val="double" w:sz="4" w:space="0" w:color="auto"/>
              <w:right w:val="single" w:sz="4" w:space="0" w:color="auto"/>
            </w:tcBorders>
            <w:vAlign w:val="center"/>
            <w:hideMark/>
          </w:tcPr>
          <w:p w:rsidR="00A009E0" w:rsidRDefault="00A009E0" w:rsidP="009C06A1">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Locuteur</w:t>
            </w:r>
          </w:p>
        </w:tc>
        <w:tc>
          <w:tcPr>
            <w:tcW w:w="1134" w:type="dxa"/>
            <w:tcBorders>
              <w:top w:val="nil"/>
              <w:left w:val="single" w:sz="4" w:space="0" w:color="auto"/>
              <w:bottom w:val="double" w:sz="4" w:space="0" w:color="auto"/>
              <w:right w:val="single" w:sz="4" w:space="0" w:color="auto"/>
            </w:tcBorders>
            <w:vAlign w:val="center"/>
            <w:hideMark/>
          </w:tcPr>
          <w:p w:rsidR="00A009E0" w:rsidRDefault="00A009E0" w:rsidP="009C06A1">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Fonction du locuteur</w:t>
            </w:r>
          </w:p>
        </w:tc>
        <w:tc>
          <w:tcPr>
            <w:tcW w:w="1419" w:type="dxa"/>
            <w:tcBorders>
              <w:top w:val="nil"/>
              <w:left w:val="single" w:sz="4" w:space="0" w:color="auto"/>
              <w:bottom w:val="double" w:sz="4" w:space="0" w:color="auto"/>
              <w:right w:val="nil"/>
            </w:tcBorders>
            <w:vAlign w:val="center"/>
            <w:hideMark/>
          </w:tcPr>
          <w:p w:rsidR="00A009E0" w:rsidRDefault="00A009E0" w:rsidP="009C06A1">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Parti politique</w:t>
            </w:r>
          </w:p>
        </w:tc>
      </w:tr>
      <w:tr w:rsidR="00A009E0" w:rsidTr="009C06A1">
        <w:trPr>
          <w:jc w:val="center"/>
        </w:trPr>
        <w:tc>
          <w:tcPr>
            <w:tcW w:w="1444" w:type="dxa"/>
            <w:tcBorders>
              <w:top w:val="double" w:sz="4" w:space="0" w:color="auto"/>
              <w:left w:val="nil"/>
              <w:bottom w:val="single" w:sz="4" w:space="0" w:color="auto"/>
              <w:right w:val="single" w:sz="4" w:space="0" w:color="auto"/>
            </w:tcBorders>
            <w:vAlign w:val="center"/>
            <w:hideMark/>
          </w:tcPr>
          <w:p w:rsidR="00A009E0" w:rsidRDefault="00A009E0" w:rsidP="009C06A1">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Colombie-Britannique</w:t>
            </w:r>
          </w:p>
        </w:tc>
        <w:tc>
          <w:tcPr>
            <w:tcW w:w="708" w:type="dxa"/>
            <w:tcBorders>
              <w:top w:val="double" w:sz="4" w:space="0" w:color="auto"/>
              <w:left w:val="single" w:sz="4" w:space="0" w:color="auto"/>
              <w:bottom w:val="single" w:sz="4" w:space="0" w:color="auto"/>
              <w:right w:val="single" w:sz="4" w:space="0" w:color="auto"/>
            </w:tcBorders>
            <w:vAlign w:val="center"/>
            <w:hideMark/>
          </w:tcPr>
          <w:p w:rsidR="00A009E0" w:rsidRDefault="00A009E0" w:rsidP="009C06A1">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40</w:t>
            </w:r>
            <w:r>
              <w:rPr>
                <w:rFonts w:ascii="Times New Roman" w:hAnsi="Times New Roman" w:cs="Times New Roman"/>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A009E0" w:rsidRDefault="00A009E0" w:rsidP="009C06A1">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1</w:t>
            </w:r>
            <w:r>
              <w:rPr>
                <w:rFonts w:ascii="Times New Roman" w:hAnsi="Times New Roman" w:cs="Times New Roman"/>
                <w:bCs/>
                <w:sz w:val="20"/>
                <w:szCs w:val="20"/>
                <w:vertAlign w:val="superscript"/>
              </w:rPr>
              <w:t>e</w:t>
            </w:r>
          </w:p>
        </w:tc>
        <w:tc>
          <w:tcPr>
            <w:tcW w:w="992" w:type="dxa"/>
            <w:tcBorders>
              <w:top w:val="double" w:sz="4" w:space="0" w:color="auto"/>
              <w:left w:val="single" w:sz="4" w:space="0" w:color="auto"/>
              <w:bottom w:val="single" w:sz="4" w:space="0" w:color="auto"/>
              <w:right w:val="single" w:sz="4" w:space="0" w:color="auto"/>
            </w:tcBorders>
            <w:vAlign w:val="center"/>
            <w:hideMark/>
          </w:tcPr>
          <w:p w:rsidR="00A009E0" w:rsidRDefault="00A009E0" w:rsidP="009C06A1">
            <w:pPr>
              <w:spacing w:after="100" w:line="240" w:lineRule="auto"/>
              <w:jc w:val="center"/>
              <w:rPr>
                <w:rFonts w:ascii="Times New Roman" w:hAnsi="Times New Roman" w:cs="Times New Roman"/>
                <w:bCs/>
                <w:sz w:val="20"/>
                <w:szCs w:val="20"/>
              </w:rPr>
            </w:pPr>
            <w:r w:rsidRPr="00BD3412">
              <w:rPr>
                <w:rFonts w:ascii="Times New Roman" w:hAnsi="Times New Roman"/>
                <w:bCs/>
                <w:sz w:val="20"/>
                <w:szCs w:val="20"/>
              </w:rPr>
              <w:t xml:space="preserve">Discours </w:t>
            </w:r>
            <w:r>
              <w:rPr>
                <w:rFonts w:ascii="Times New Roman" w:hAnsi="Times New Roman"/>
                <w:bCs/>
                <w:sz w:val="20"/>
                <w:szCs w:val="20"/>
              </w:rPr>
              <w:t>sur la santé</w:t>
            </w:r>
          </w:p>
        </w:tc>
        <w:tc>
          <w:tcPr>
            <w:tcW w:w="1134" w:type="dxa"/>
            <w:tcBorders>
              <w:top w:val="double" w:sz="4" w:space="0" w:color="auto"/>
              <w:left w:val="single" w:sz="4" w:space="0" w:color="auto"/>
              <w:bottom w:val="single" w:sz="4" w:space="0" w:color="auto"/>
              <w:right w:val="single" w:sz="4" w:space="0" w:color="auto"/>
            </w:tcBorders>
            <w:vAlign w:val="center"/>
            <w:hideMark/>
          </w:tcPr>
          <w:p w:rsidR="00A009E0" w:rsidRDefault="00A009E0" w:rsidP="009C06A1">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23 juillet 2013</w:t>
            </w:r>
          </w:p>
        </w:tc>
        <w:tc>
          <w:tcPr>
            <w:tcW w:w="1134" w:type="dxa"/>
            <w:tcBorders>
              <w:top w:val="double" w:sz="4" w:space="0" w:color="auto"/>
              <w:left w:val="single" w:sz="4" w:space="0" w:color="auto"/>
              <w:bottom w:val="single" w:sz="4" w:space="0" w:color="auto"/>
              <w:right w:val="single" w:sz="4" w:space="0" w:color="auto"/>
            </w:tcBorders>
            <w:vAlign w:val="center"/>
            <w:hideMark/>
          </w:tcPr>
          <w:p w:rsidR="00A009E0" w:rsidRDefault="00A009E0" w:rsidP="009C06A1">
            <w:pPr>
              <w:spacing w:after="100" w:line="240" w:lineRule="auto"/>
              <w:jc w:val="center"/>
              <w:rPr>
                <w:rFonts w:ascii="Times New Roman" w:hAnsi="Times New Roman" w:cs="Times New Roman"/>
                <w:bCs/>
                <w:sz w:val="20"/>
                <w:szCs w:val="20"/>
              </w:rPr>
            </w:pPr>
            <w:r w:rsidRPr="00AB6694">
              <w:rPr>
                <w:rFonts w:ascii="Times New Roman" w:hAnsi="Times New Roman" w:cs="Times New Roman"/>
                <w:bCs/>
                <w:sz w:val="20"/>
                <w:szCs w:val="20"/>
              </w:rPr>
              <w:t>Terry Lake</w:t>
            </w:r>
          </w:p>
        </w:tc>
        <w:tc>
          <w:tcPr>
            <w:tcW w:w="1134" w:type="dxa"/>
            <w:tcBorders>
              <w:top w:val="double" w:sz="4" w:space="0" w:color="auto"/>
              <w:left w:val="single" w:sz="4" w:space="0" w:color="auto"/>
              <w:bottom w:val="single" w:sz="4" w:space="0" w:color="auto"/>
              <w:right w:val="single" w:sz="4" w:space="0" w:color="auto"/>
            </w:tcBorders>
            <w:vAlign w:val="center"/>
            <w:hideMark/>
          </w:tcPr>
          <w:p w:rsidR="00A009E0" w:rsidRDefault="00A009E0" w:rsidP="009C06A1">
            <w:pPr>
              <w:spacing w:after="100" w:line="240" w:lineRule="auto"/>
              <w:jc w:val="center"/>
              <w:rPr>
                <w:rFonts w:ascii="Times New Roman" w:hAnsi="Times New Roman" w:cs="Times New Roman"/>
                <w:bCs/>
                <w:sz w:val="20"/>
                <w:szCs w:val="20"/>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left w:val="single" w:sz="4" w:space="0" w:color="auto"/>
              <w:bottom w:val="single" w:sz="4" w:space="0" w:color="auto"/>
              <w:right w:val="nil"/>
            </w:tcBorders>
            <w:vAlign w:val="center"/>
            <w:hideMark/>
          </w:tcPr>
          <w:p w:rsidR="00A009E0" w:rsidRDefault="00A009E0" w:rsidP="009C06A1">
            <w:pPr>
              <w:spacing w:after="10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British Columbia Liberal Party</w:t>
            </w:r>
          </w:p>
        </w:tc>
      </w:tr>
    </w:tbl>
    <w:p w:rsidR="00A009E0" w:rsidRDefault="00A009E0" w:rsidP="00A009E0">
      <w:pPr>
        <w:jc w:val="both"/>
        <w:rPr>
          <w:rFonts w:ascii="Times New Roman" w:hAnsi="Times New Roman" w:cs="Times New Roman"/>
          <w:sz w:val="24"/>
          <w:szCs w:val="24"/>
          <w:lang w:val="en-CA"/>
        </w:rPr>
      </w:pPr>
    </w:p>
    <w:p w:rsidR="00A009E0" w:rsidRPr="00A009E0" w:rsidRDefault="00A009E0" w:rsidP="00A009E0">
      <w:pPr>
        <w:jc w:val="both"/>
        <w:rPr>
          <w:rFonts w:ascii="Times New Roman" w:hAnsi="Times New Roman" w:cs="Times New Roman"/>
          <w:sz w:val="24"/>
          <w:szCs w:val="24"/>
          <w:lang w:val="en-CA"/>
        </w:rPr>
      </w:pPr>
      <w:r w:rsidRPr="00A009E0">
        <w:rPr>
          <w:rFonts w:ascii="Times New Roman" w:hAnsi="Times New Roman" w:cs="Times New Roman"/>
          <w:sz w:val="24"/>
          <w:szCs w:val="24"/>
          <w:lang w:val="en-CA"/>
        </w:rPr>
        <w:t>It's a pleasure and an honour to be standing before the members of this House today to debate the estimates for the Ministry of Health. Before we begin, I'd like to introduce the members of my staff who've joined me here today. I've got my Deputy Min</w:t>
      </w:r>
      <w:r>
        <w:rPr>
          <w:rFonts w:ascii="Times New Roman" w:hAnsi="Times New Roman" w:cs="Times New Roman"/>
          <w:sz w:val="24"/>
          <w:szCs w:val="24"/>
          <w:lang w:val="en-CA"/>
        </w:rPr>
        <w:t>ister of Health, Stephen Brown.</w:t>
      </w:r>
    </w:p>
    <w:p w:rsidR="00A009E0" w:rsidRPr="00A009E0" w:rsidRDefault="00A009E0" w:rsidP="00A009E0">
      <w:pPr>
        <w:jc w:val="both"/>
        <w:rPr>
          <w:rFonts w:ascii="Times New Roman" w:hAnsi="Times New Roman" w:cs="Times New Roman"/>
          <w:sz w:val="24"/>
          <w:szCs w:val="24"/>
          <w:lang w:val="en-CA"/>
        </w:rPr>
      </w:pPr>
      <w:r w:rsidRPr="00A009E0">
        <w:rPr>
          <w:rFonts w:ascii="Times New Roman" w:hAnsi="Times New Roman" w:cs="Times New Roman"/>
          <w:sz w:val="24"/>
          <w:szCs w:val="24"/>
          <w:lang w:val="en-CA"/>
        </w:rPr>
        <w:t xml:space="preserve">I have our chief administrative officer, Elaine McKnight, behind. We have Assistant Deputy Minister </w:t>
      </w:r>
      <w:proofErr w:type="spellStart"/>
      <w:r w:rsidRPr="00A009E0">
        <w:rPr>
          <w:rFonts w:ascii="Times New Roman" w:hAnsi="Times New Roman" w:cs="Times New Roman"/>
          <w:sz w:val="24"/>
          <w:szCs w:val="24"/>
          <w:lang w:val="en-CA"/>
        </w:rPr>
        <w:t>Manjit</w:t>
      </w:r>
      <w:proofErr w:type="spellEnd"/>
      <w:r w:rsidRPr="00A009E0">
        <w:rPr>
          <w:rFonts w:ascii="Times New Roman" w:hAnsi="Times New Roman" w:cs="Times New Roman"/>
          <w:sz w:val="24"/>
          <w:szCs w:val="24"/>
          <w:lang w:val="en-CA"/>
        </w:rPr>
        <w:t xml:space="preserve"> Sidhu to my left and executive director Nick Grant behind me as well.</w:t>
      </w:r>
    </w:p>
    <w:p w:rsidR="00A009E0" w:rsidRPr="00A009E0" w:rsidRDefault="00A009E0" w:rsidP="00A009E0">
      <w:pPr>
        <w:jc w:val="both"/>
        <w:rPr>
          <w:rFonts w:ascii="Times New Roman" w:hAnsi="Times New Roman" w:cs="Times New Roman"/>
          <w:sz w:val="24"/>
          <w:szCs w:val="24"/>
          <w:lang w:val="en-CA"/>
        </w:rPr>
      </w:pPr>
      <w:r w:rsidRPr="00A009E0">
        <w:rPr>
          <w:rFonts w:ascii="Times New Roman" w:hAnsi="Times New Roman" w:cs="Times New Roman"/>
          <w:sz w:val="24"/>
          <w:szCs w:val="24"/>
          <w:lang w:val="en-CA"/>
        </w:rPr>
        <w:t>I'd also like to thank the 1,240 Ministry of Health employees who work so diligently for the public service and also the thousands of health care professionals and allied workers, as well as the people throughout British Columbia working in the health care system, for the outstanding work that they do.</w:t>
      </w:r>
    </w:p>
    <w:p w:rsidR="00A009E0" w:rsidRPr="00A009E0" w:rsidRDefault="00A009E0" w:rsidP="00A009E0">
      <w:pPr>
        <w:jc w:val="both"/>
        <w:rPr>
          <w:rFonts w:ascii="Times New Roman" w:hAnsi="Times New Roman" w:cs="Times New Roman"/>
          <w:sz w:val="24"/>
          <w:szCs w:val="24"/>
          <w:lang w:val="en-CA"/>
        </w:rPr>
      </w:pPr>
      <w:r w:rsidRPr="00A009E0">
        <w:rPr>
          <w:rFonts w:ascii="Times New Roman" w:hAnsi="Times New Roman" w:cs="Times New Roman"/>
          <w:sz w:val="24"/>
          <w:szCs w:val="24"/>
          <w:lang w:val="en-CA"/>
        </w:rPr>
        <w:t>British Columbians have entrusted our government with a mandate to build a strong economy, a secure tomorrow and a lasting legacy for generations to come, and as Minister of Health I'm committed to fulfilling that mandate. It means protecting and enhancing the health care system while ensuring the best possible value for taxpayers.</w:t>
      </w:r>
    </w:p>
    <w:p w:rsidR="00A009E0" w:rsidRPr="00A009E0" w:rsidRDefault="00A009E0" w:rsidP="00A009E0">
      <w:pPr>
        <w:jc w:val="both"/>
        <w:rPr>
          <w:rFonts w:ascii="Times New Roman" w:hAnsi="Times New Roman" w:cs="Times New Roman"/>
          <w:sz w:val="24"/>
          <w:szCs w:val="24"/>
          <w:lang w:val="en-CA"/>
        </w:rPr>
      </w:pPr>
      <w:r w:rsidRPr="00A009E0">
        <w:rPr>
          <w:rFonts w:ascii="Times New Roman" w:hAnsi="Times New Roman" w:cs="Times New Roman"/>
          <w:sz w:val="24"/>
          <w:szCs w:val="24"/>
          <w:lang w:val="en-CA"/>
        </w:rPr>
        <w:t>As many of you know, currently B.C. has some of the best health outcomes in all of Canada while controlling health care spending relative to other provinces. I think that's something we can all be proud of. It means we are delivering excellent results for patients while also conserving every tax dollar we can. As Minister of Health I have a mandate to continue this record.</w:t>
      </w:r>
    </w:p>
    <w:p w:rsidR="00A009E0" w:rsidRPr="00A009E0" w:rsidRDefault="00A009E0" w:rsidP="00A009E0">
      <w:pPr>
        <w:jc w:val="both"/>
        <w:rPr>
          <w:rFonts w:ascii="Times New Roman" w:hAnsi="Times New Roman" w:cs="Times New Roman"/>
          <w:sz w:val="24"/>
          <w:szCs w:val="24"/>
          <w:lang w:val="en-CA"/>
        </w:rPr>
      </w:pPr>
      <w:r w:rsidRPr="00A009E0">
        <w:rPr>
          <w:rFonts w:ascii="Times New Roman" w:hAnsi="Times New Roman" w:cs="Times New Roman"/>
          <w:sz w:val="24"/>
          <w:szCs w:val="24"/>
          <w:lang w:val="en-CA"/>
        </w:rPr>
        <w:t>Preserving a strong British Columbia for ourselves, our children and our grandchildren means making the right choices now to control spending and to balance the budget in health care. We understand the system is facing increasing pressures precipitated by a growing population and, of course, an aging population as well.</w:t>
      </w:r>
    </w:p>
    <w:p w:rsidR="00A009E0" w:rsidRPr="00A009E0" w:rsidRDefault="00A009E0" w:rsidP="00A009E0">
      <w:pPr>
        <w:jc w:val="both"/>
        <w:rPr>
          <w:rFonts w:ascii="Times New Roman" w:hAnsi="Times New Roman" w:cs="Times New Roman"/>
          <w:sz w:val="24"/>
          <w:szCs w:val="24"/>
          <w:lang w:val="en-CA"/>
        </w:rPr>
      </w:pPr>
      <w:r w:rsidRPr="00A009E0">
        <w:rPr>
          <w:rFonts w:ascii="Times New Roman" w:hAnsi="Times New Roman" w:cs="Times New Roman"/>
          <w:sz w:val="24"/>
          <w:szCs w:val="24"/>
          <w:lang w:val="en-CA"/>
        </w:rPr>
        <w:t>Budget 2013 is a budget that shows restraint despite the temptation to spend now and worry later. We're balancing the budget, but we're also continuing to invest in health care, of course. Over the next three fiscal years the Ministry of Health will receive an additional $2.4 billion in funding. We continue to manage the rate of growth in health expenditures, and that's the right thing to do for system sustainability and, of course, for the taxpayers as well.</w:t>
      </w:r>
    </w:p>
    <w:p w:rsidR="00A009E0" w:rsidRPr="00A009E0" w:rsidRDefault="00A009E0" w:rsidP="00A009E0">
      <w:pPr>
        <w:jc w:val="both"/>
        <w:rPr>
          <w:rFonts w:ascii="Times New Roman" w:hAnsi="Times New Roman" w:cs="Times New Roman"/>
          <w:sz w:val="24"/>
          <w:szCs w:val="24"/>
          <w:lang w:val="en-CA"/>
        </w:rPr>
      </w:pPr>
      <w:r w:rsidRPr="00A009E0">
        <w:rPr>
          <w:rFonts w:ascii="Times New Roman" w:hAnsi="Times New Roman" w:cs="Times New Roman"/>
          <w:sz w:val="24"/>
          <w:szCs w:val="24"/>
          <w:lang w:val="en-CA"/>
        </w:rPr>
        <w:lastRenderedPageBreak/>
        <w:t>Before the worldwide economic crisis, health funding was growing by about 7 percent a year. In this year's budget we've put the growth down to 2.6 percent, which means we're managing wisely, but it also means that we will require innovation to achieve this bending down of the cost-increase curve. We're driving down administration costs and focusing available resources where they are most appropriate.</w:t>
      </w:r>
    </w:p>
    <w:p w:rsidR="00A009E0" w:rsidRPr="00A009E0" w:rsidRDefault="00A009E0" w:rsidP="00A009E0">
      <w:pPr>
        <w:jc w:val="both"/>
        <w:rPr>
          <w:rFonts w:ascii="Times New Roman" w:hAnsi="Times New Roman" w:cs="Times New Roman"/>
          <w:sz w:val="24"/>
          <w:szCs w:val="24"/>
          <w:lang w:val="en-CA"/>
        </w:rPr>
      </w:pPr>
      <w:r w:rsidRPr="00A009E0">
        <w:rPr>
          <w:rFonts w:ascii="Times New Roman" w:hAnsi="Times New Roman" w:cs="Times New Roman"/>
          <w:sz w:val="24"/>
          <w:szCs w:val="24"/>
          <w:lang w:val="en-CA"/>
        </w:rPr>
        <w:t xml:space="preserve">Through innovation we will improve our performance and the efficiency </w:t>
      </w:r>
      <w:r>
        <w:rPr>
          <w:rFonts w:ascii="Times New Roman" w:hAnsi="Times New Roman" w:cs="Times New Roman"/>
          <w:sz w:val="24"/>
          <w:szCs w:val="24"/>
          <w:lang w:val="en-CA"/>
        </w:rPr>
        <w:t xml:space="preserve">of our health system and ensure </w:t>
      </w:r>
      <w:r w:rsidRPr="00A009E0">
        <w:rPr>
          <w:rFonts w:ascii="Times New Roman" w:hAnsi="Times New Roman" w:cs="Times New Roman"/>
          <w:sz w:val="24"/>
          <w:szCs w:val="24"/>
          <w:lang w:val="en-CA"/>
        </w:rPr>
        <w:t>the long-term sustainability. We're doing this in three primary areas.</w:t>
      </w:r>
    </w:p>
    <w:p w:rsidR="00A009E0" w:rsidRPr="00A009E0" w:rsidRDefault="00A009E0" w:rsidP="00A009E0">
      <w:pPr>
        <w:jc w:val="both"/>
        <w:rPr>
          <w:rFonts w:ascii="Times New Roman" w:hAnsi="Times New Roman" w:cs="Times New Roman"/>
          <w:sz w:val="24"/>
          <w:szCs w:val="24"/>
          <w:lang w:val="en-CA"/>
        </w:rPr>
      </w:pPr>
      <w:r w:rsidRPr="00A009E0">
        <w:rPr>
          <w:rFonts w:ascii="Times New Roman" w:hAnsi="Times New Roman" w:cs="Times New Roman"/>
          <w:sz w:val="24"/>
          <w:szCs w:val="24"/>
          <w:lang w:val="en-CA"/>
        </w:rPr>
        <w:t>The first is focused on health promotion and disease prevention. Our healthy families B.C. agenda is an example of where we are helping people to keep healthy by creating conditions that improve physical activity levels, increase healthy eating and, of course, reduce tobacco use.</w:t>
      </w:r>
    </w:p>
    <w:p w:rsidR="00A009E0" w:rsidRPr="00A009E0" w:rsidRDefault="00A009E0" w:rsidP="00A009E0">
      <w:pPr>
        <w:jc w:val="both"/>
        <w:rPr>
          <w:rFonts w:ascii="Times New Roman" w:hAnsi="Times New Roman" w:cs="Times New Roman"/>
          <w:sz w:val="24"/>
          <w:szCs w:val="24"/>
          <w:lang w:val="en-CA"/>
        </w:rPr>
      </w:pPr>
      <w:r w:rsidRPr="00A009E0">
        <w:rPr>
          <w:rFonts w:ascii="Times New Roman" w:hAnsi="Times New Roman" w:cs="Times New Roman"/>
          <w:sz w:val="24"/>
          <w:szCs w:val="24"/>
          <w:lang w:val="en-CA"/>
        </w:rPr>
        <w:t>The secondary focus is developing a system of integrated primary and community care — programs like Home is Best, which helps seniors with high care needs live longer in their homes as an alternative to being admitted to residential care and avoiding preventable hospital admissions.</w:t>
      </w:r>
    </w:p>
    <w:p w:rsidR="00A009E0" w:rsidRPr="00A009E0" w:rsidRDefault="00A009E0" w:rsidP="00A009E0">
      <w:pPr>
        <w:jc w:val="both"/>
        <w:rPr>
          <w:rFonts w:ascii="Times New Roman" w:hAnsi="Times New Roman" w:cs="Times New Roman"/>
          <w:sz w:val="24"/>
          <w:szCs w:val="24"/>
          <w:lang w:val="en-CA"/>
        </w:rPr>
      </w:pPr>
      <w:r w:rsidRPr="00A009E0">
        <w:rPr>
          <w:rFonts w:ascii="Times New Roman" w:hAnsi="Times New Roman" w:cs="Times New Roman"/>
          <w:sz w:val="24"/>
          <w:szCs w:val="24"/>
          <w:lang w:val="en-CA"/>
        </w:rPr>
        <w:t>Lastly, we are ensuring that we have a high-quality and accessible hospital care system. Over the next three years investments in new medical equipment and modernized health facilities will reach $2.5 billion. Examples include the redevelopment of B.C. Children's and Women's Hospital in Vancouver, the redevelopment of Royal Inland Hospital in the great city of Kamloops, the replacement of the Queen Charlotte–</w:t>
      </w:r>
      <w:proofErr w:type="spellStart"/>
      <w:r w:rsidRPr="00A009E0">
        <w:rPr>
          <w:rFonts w:ascii="Times New Roman" w:hAnsi="Times New Roman" w:cs="Times New Roman"/>
          <w:sz w:val="24"/>
          <w:szCs w:val="24"/>
          <w:lang w:val="en-CA"/>
        </w:rPr>
        <w:t>Haida</w:t>
      </w:r>
      <w:proofErr w:type="spellEnd"/>
      <w:r w:rsidRPr="00A009E0">
        <w:rPr>
          <w:rFonts w:ascii="Times New Roman" w:hAnsi="Times New Roman" w:cs="Times New Roman"/>
          <w:sz w:val="24"/>
          <w:szCs w:val="24"/>
          <w:lang w:val="en-CA"/>
        </w:rPr>
        <w:t xml:space="preserve"> </w:t>
      </w:r>
      <w:proofErr w:type="spellStart"/>
      <w:r w:rsidRPr="00A009E0">
        <w:rPr>
          <w:rFonts w:ascii="Times New Roman" w:hAnsi="Times New Roman" w:cs="Times New Roman"/>
          <w:sz w:val="24"/>
          <w:szCs w:val="24"/>
          <w:lang w:val="en-CA"/>
        </w:rPr>
        <w:t>Gwaii</w:t>
      </w:r>
      <w:proofErr w:type="spellEnd"/>
      <w:r w:rsidRPr="00A009E0">
        <w:rPr>
          <w:rFonts w:ascii="Times New Roman" w:hAnsi="Times New Roman" w:cs="Times New Roman"/>
          <w:sz w:val="24"/>
          <w:szCs w:val="24"/>
          <w:lang w:val="en-CA"/>
        </w:rPr>
        <w:t xml:space="preserve"> hospital and a new Surrey Memorial Hospital emergency department and critical care tower.</w:t>
      </w:r>
    </w:p>
    <w:p w:rsidR="00A009E0" w:rsidRPr="00A009E0" w:rsidRDefault="00A009E0" w:rsidP="00A009E0">
      <w:pPr>
        <w:jc w:val="both"/>
        <w:rPr>
          <w:rFonts w:ascii="Times New Roman" w:hAnsi="Times New Roman" w:cs="Times New Roman"/>
          <w:sz w:val="24"/>
          <w:szCs w:val="24"/>
          <w:lang w:val="en-CA"/>
        </w:rPr>
      </w:pPr>
      <w:r w:rsidRPr="00A009E0">
        <w:rPr>
          <w:rFonts w:ascii="Times New Roman" w:hAnsi="Times New Roman" w:cs="Times New Roman"/>
          <w:sz w:val="24"/>
          <w:szCs w:val="24"/>
          <w:lang w:val="en-CA"/>
        </w:rPr>
        <w:t>As leaders we all have a duty to be disciplined for taxpayers today and a responsibility to be fair to future generations. Our health care system is founded on the principles of caring for those who cared for us and helping those who need our help now, and our targeted investments are paving the way for a brighter future for the next generation.</w:t>
      </w:r>
    </w:p>
    <w:p w:rsidR="002B448A" w:rsidRPr="00A009E0" w:rsidRDefault="00A009E0" w:rsidP="00A009E0">
      <w:pPr>
        <w:jc w:val="both"/>
        <w:rPr>
          <w:rFonts w:ascii="Times New Roman" w:hAnsi="Times New Roman" w:cs="Times New Roman"/>
          <w:sz w:val="24"/>
          <w:szCs w:val="24"/>
          <w:lang w:val="en-CA"/>
        </w:rPr>
      </w:pPr>
      <w:r w:rsidRPr="00A009E0">
        <w:rPr>
          <w:rFonts w:ascii="Times New Roman" w:hAnsi="Times New Roman" w:cs="Times New Roman"/>
          <w:sz w:val="24"/>
          <w:szCs w:val="24"/>
          <w:lang w:val="en-CA"/>
        </w:rPr>
        <w:t>I welcome any questions that opposition Health critics or other members of the House may have in respect to our budget and the programs of the Ministry of Health.</w:t>
      </w:r>
    </w:p>
    <w:sectPr w:rsidR="002B448A" w:rsidRPr="00A009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9E0"/>
    <w:rsid w:val="001B6250"/>
    <w:rsid w:val="006802EB"/>
    <w:rsid w:val="009E23B1"/>
    <w:rsid w:val="00A009E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91378-F218-49ED-9166-4567B08F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2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3948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2016-08-02T13:05:00Z</dcterms:created>
  <dcterms:modified xsi:type="dcterms:W3CDTF">2016-08-02T13:05:00Z</dcterms:modified>
</cp:coreProperties>
</file>