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851"/>
        <w:gridCol w:w="1384"/>
        <w:gridCol w:w="1108"/>
        <w:gridCol w:w="1193"/>
        <w:gridCol w:w="1553"/>
        <w:gridCol w:w="988"/>
      </w:tblGrid>
      <w:tr w:rsidR="00797D59" w:rsidRPr="00797D59" w:rsidTr="00FD5E59"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59" w:rsidRPr="00797D59" w:rsidRDefault="00797D59" w:rsidP="00797D59">
            <w:pPr>
              <w:rPr>
                <w:rFonts w:eastAsia="Calibri"/>
                <w:b/>
                <w:bCs/>
                <w:i/>
                <w:sz w:val="20"/>
                <w:szCs w:val="20"/>
                <w:lang w:eastAsia="fr-CA"/>
              </w:rPr>
            </w:pPr>
            <w:r w:rsidRPr="00797D59">
              <w:rPr>
                <w:rFonts w:eastAsia="Calibri"/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59" w:rsidRPr="00797D59" w:rsidRDefault="00797D59" w:rsidP="00797D59">
            <w:pPr>
              <w:rPr>
                <w:rFonts w:eastAsia="Calibri"/>
                <w:b/>
                <w:bCs/>
                <w:i/>
                <w:sz w:val="20"/>
                <w:szCs w:val="20"/>
                <w:lang w:eastAsia="fr-CA"/>
              </w:rPr>
            </w:pPr>
            <w:r w:rsidRPr="00797D59">
              <w:rPr>
                <w:rFonts w:eastAsia="Calibri"/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59" w:rsidRPr="00797D59" w:rsidRDefault="00797D59" w:rsidP="00797D59">
            <w:pPr>
              <w:rPr>
                <w:rFonts w:eastAsia="Calibri"/>
                <w:b/>
                <w:bCs/>
                <w:i/>
                <w:sz w:val="20"/>
                <w:szCs w:val="20"/>
                <w:lang w:eastAsia="fr-CA"/>
              </w:rPr>
            </w:pPr>
            <w:r w:rsidRPr="00797D59">
              <w:rPr>
                <w:rFonts w:eastAsia="Calibri"/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59" w:rsidRPr="00797D59" w:rsidRDefault="00797D59" w:rsidP="00797D59">
            <w:pPr>
              <w:rPr>
                <w:rFonts w:eastAsia="Calibri"/>
                <w:b/>
                <w:bCs/>
                <w:i/>
                <w:sz w:val="20"/>
                <w:szCs w:val="20"/>
                <w:lang w:eastAsia="fr-CA"/>
              </w:rPr>
            </w:pPr>
            <w:r w:rsidRPr="00797D59">
              <w:rPr>
                <w:rFonts w:eastAsia="Calibri"/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59" w:rsidRPr="00797D59" w:rsidRDefault="00797D59" w:rsidP="00797D59">
            <w:pPr>
              <w:rPr>
                <w:rFonts w:eastAsia="Calibri"/>
                <w:b/>
                <w:bCs/>
                <w:i/>
                <w:sz w:val="20"/>
                <w:szCs w:val="20"/>
                <w:lang w:eastAsia="fr-CA"/>
              </w:rPr>
            </w:pPr>
            <w:r w:rsidRPr="00797D59">
              <w:rPr>
                <w:rFonts w:eastAsia="Calibri"/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59" w:rsidRPr="00797D59" w:rsidRDefault="00797D59" w:rsidP="00797D59">
            <w:pPr>
              <w:rPr>
                <w:rFonts w:eastAsia="Calibri"/>
                <w:b/>
                <w:bCs/>
                <w:i/>
                <w:sz w:val="20"/>
                <w:szCs w:val="20"/>
                <w:lang w:eastAsia="fr-CA"/>
              </w:rPr>
            </w:pPr>
            <w:r w:rsidRPr="00797D59">
              <w:rPr>
                <w:rFonts w:eastAsia="Calibri"/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59" w:rsidRPr="00797D59" w:rsidRDefault="00797D59" w:rsidP="00797D59">
            <w:pPr>
              <w:rPr>
                <w:rFonts w:eastAsia="Calibri"/>
                <w:b/>
                <w:bCs/>
                <w:i/>
                <w:sz w:val="20"/>
                <w:szCs w:val="20"/>
                <w:lang w:eastAsia="fr-CA"/>
              </w:rPr>
            </w:pPr>
            <w:r w:rsidRPr="00797D59">
              <w:rPr>
                <w:rFonts w:eastAsia="Calibri"/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hideMark/>
          </w:tcPr>
          <w:p w:rsidR="00797D59" w:rsidRPr="00797D59" w:rsidRDefault="00797D59" w:rsidP="00797D59">
            <w:pPr>
              <w:rPr>
                <w:rFonts w:eastAsia="Calibri"/>
                <w:b/>
                <w:bCs/>
                <w:i/>
                <w:sz w:val="20"/>
                <w:szCs w:val="20"/>
                <w:lang w:eastAsia="fr-CA"/>
              </w:rPr>
            </w:pPr>
            <w:r w:rsidRPr="00797D59">
              <w:rPr>
                <w:rFonts w:eastAsia="Calibri"/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797D59" w:rsidRPr="00797D59" w:rsidTr="00FD5E59"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59" w:rsidRPr="00797D59" w:rsidRDefault="00797D59" w:rsidP="00797D59">
            <w:pPr>
              <w:rPr>
                <w:rFonts w:eastAsia="Calibri"/>
                <w:bCs/>
                <w:sz w:val="20"/>
                <w:szCs w:val="20"/>
                <w:lang w:eastAsia="fr-CA"/>
              </w:rPr>
            </w:pPr>
            <w:r w:rsidRPr="00797D59">
              <w:rPr>
                <w:rFonts w:eastAsia="Calibri"/>
                <w:bCs/>
                <w:sz w:val="20"/>
                <w:szCs w:val="20"/>
                <w:lang w:eastAsia="fr-CA"/>
              </w:rPr>
              <w:t>Alberta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59" w:rsidRPr="00797D59" w:rsidRDefault="00797D59" w:rsidP="00797D59">
            <w:pPr>
              <w:rPr>
                <w:rFonts w:eastAsia="Calibri"/>
                <w:bCs/>
                <w:sz w:val="20"/>
                <w:szCs w:val="20"/>
                <w:lang w:eastAsia="fr-CA"/>
              </w:rPr>
            </w:pPr>
            <w:r w:rsidRPr="00797D59">
              <w:rPr>
                <w:rFonts w:eastAsia="Calibri"/>
                <w:bCs/>
                <w:sz w:val="20"/>
                <w:szCs w:val="20"/>
                <w:lang w:eastAsia="fr-CA"/>
              </w:rPr>
              <w:t>27</w:t>
            </w:r>
            <w:r w:rsidRPr="00797D59">
              <w:rPr>
                <w:rFonts w:eastAsia="Calibri"/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 w:rsidRPr="00797D59">
              <w:rPr>
                <w:rFonts w:eastAsia="Calibri"/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59" w:rsidRPr="00797D59" w:rsidRDefault="00797D59" w:rsidP="00797D59">
            <w:pPr>
              <w:rPr>
                <w:rFonts w:eastAsia="Calibri"/>
                <w:bCs/>
                <w:sz w:val="20"/>
                <w:szCs w:val="20"/>
                <w:lang w:eastAsia="fr-CA"/>
              </w:rPr>
            </w:pPr>
            <w:r w:rsidRPr="00797D59">
              <w:rPr>
                <w:rFonts w:eastAsia="Calibri"/>
                <w:bCs/>
                <w:sz w:val="20"/>
                <w:szCs w:val="20"/>
                <w:lang w:eastAsia="fr-CA"/>
              </w:rPr>
              <w:t>4</w:t>
            </w:r>
            <w:r w:rsidRPr="00797D59">
              <w:rPr>
                <w:rFonts w:eastAsia="Calibri"/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 w:rsidRPr="00797D59">
              <w:rPr>
                <w:rFonts w:eastAsia="Calibri"/>
                <w:bCs/>
                <w:sz w:val="20"/>
                <w:szCs w:val="20"/>
                <w:lang w:eastAsia="fr-CA"/>
              </w:rPr>
              <w:t xml:space="preserve">    </w:t>
            </w:r>
          </w:p>
          <w:p w:rsidR="00797D59" w:rsidRPr="00797D59" w:rsidRDefault="00797D59" w:rsidP="00797D59">
            <w:pPr>
              <w:rPr>
                <w:rFonts w:eastAsia="Calibri"/>
                <w:bCs/>
                <w:sz w:val="20"/>
                <w:szCs w:val="20"/>
                <w:lang w:eastAsia="fr-CA"/>
              </w:rPr>
            </w:pPr>
            <w:r w:rsidRPr="00797D59">
              <w:rPr>
                <w:rFonts w:eastAsia="Calibri"/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59" w:rsidRPr="00797D59" w:rsidRDefault="00797D59" w:rsidP="00797D5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97D5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Remarques préliminaires à l'étude des crédits </w:t>
            </w:r>
          </w:p>
        </w:tc>
        <w:tc>
          <w:tcPr>
            <w:tcW w:w="11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59" w:rsidRPr="00797D59" w:rsidRDefault="00797D59" w:rsidP="00797D59">
            <w:pPr>
              <w:rPr>
                <w:rFonts w:eastAsia="Calibri"/>
                <w:bCs/>
                <w:sz w:val="20"/>
                <w:szCs w:val="20"/>
                <w:lang w:eastAsia="fr-CA"/>
              </w:rPr>
            </w:pPr>
            <w:r w:rsidRPr="00797D59">
              <w:rPr>
                <w:rFonts w:eastAsia="Calibri"/>
                <w:bCs/>
                <w:sz w:val="20"/>
                <w:szCs w:val="20"/>
                <w:lang w:eastAsia="fr-CA"/>
              </w:rPr>
              <w:t>13 avril 2011</w:t>
            </w:r>
          </w:p>
        </w:tc>
        <w:tc>
          <w:tcPr>
            <w:tcW w:w="1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59" w:rsidRPr="00797D59" w:rsidRDefault="00797D59" w:rsidP="00797D59">
            <w:pPr>
              <w:rPr>
                <w:rFonts w:eastAsia="Calibri"/>
                <w:bCs/>
                <w:sz w:val="20"/>
                <w:szCs w:val="20"/>
                <w:lang w:val="en-CA" w:eastAsia="fr-CA"/>
              </w:rPr>
            </w:pPr>
            <w:r w:rsidRPr="00797D59">
              <w:rPr>
                <w:rFonts w:eastAsia="Calibri"/>
                <w:bCs/>
                <w:sz w:val="20"/>
                <w:szCs w:val="20"/>
                <w:lang w:val="en-CA" w:eastAsia="fr-CA"/>
              </w:rPr>
              <w:t xml:space="preserve">M. Gene </w:t>
            </w:r>
            <w:proofErr w:type="spellStart"/>
            <w:r w:rsidRPr="00797D59">
              <w:rPr>
                <w:rFonts w:eastAsia="Calibri"/>
                <w:bCs/>
                <w:sz w:val="20"/>
                <w:szCs w:val="20"/>
                <w:lang w:val="en-CA" w:eastAsia="fr-CA"/>
              </w:rPr>
              <w:t>Zwozdesky</w:t>
            </w:r>
            <w:proofErr w:type="spellEnd"/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59" w:rsidRPr="00797D59" w:rsidRDefault="00797D59" w:rsidP="00797D59">
            <w:pPr>
              <w:rPr>
                <w:rFonts w:eastAsia="Calibri"/>
                <w:bCs/>
                <w:sz w:val="20"/>
                <w:szCs w:val="20"/>
                <w:lang w:eastAsia="fr-CA"/>
              </w:rPr>
            </w:pPr>
            <w:r w:rsidRPr="00797D59">
              <w:rPr>
                <w:rFonts w:eastAsia="Calibri"/>
                <w:color w:val="000000"/>
                <w:sz w:val="20"/>
                <w:szCs w:val="20"/>
                <w:lang w:eastAsia="fr-CA"/>
              </w:rPr>
              <w:t>Ministre de la Santé et du Bien-être</w:t>
            </w:r>
          </w:p>
        </w:tc>
        <w:tc>
          <w:tcPr>
            <w:tcW w:w="9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7D59" w:rsidRPr="00797D59" w:rsidRDefault="00797D59" w:rsidP="00797D59">
            <w:pPr>
              <w:rPr>
                <w:rFonts w:eastAsia="Calibri"/>
                <w:bCs/>
                <w:sz w:val="20"/>
                <w:szCs w:val="20"/>
                <w:lang w:val="en-CA" w:eastAsia="fr-CA"/>
              </w:rPr>
            </w:pPr>
            <w:r w:rsidRPr="00797D59">
              <w:rPr>
                <w:rFonts w:eastAsia="Calibri"/>
                <w:bCs/>
                <w:sz w:val="20"/>
                <w:szCs w:val="20"/>
                <w:lang w:val="en-CA" w:eastAsia="fr-CA"/>
              </w:rPr>
              <w:t>PC</w:t>
            </w:r>
          </w:p>
        </w:tc>
      </w:tr>
    </w:tbl>
    <w:p w:rsidR="001501F1" w:rsidRDefault="001501F1" w:rsidP="00797D59">
      <w:pPr>
        <w:jc w:val="both"/>
      </w:pPr>
    </w:p>
    <w:p w:rsidR="00797D59" w:rsidRPr="00797D59" w:rsidRDefault="00797D59" w:rsidP="00797D59">
      <w:pPr>
        <w:jc w:val="both"/>
      </w:pPr>
    </w:p>
    <w:p w:rsidR="00797D59" w:rsidRDefault="00797D59" w:rsidP="00797D59">
      <w:pPr>
        <w:jc w:val="both"/>
        <w:rPr>
          <w:lang w:val="en-CA"/>
        </w:rPr>
      </w:pPr>
      <w:r w:rsidRPr="00797D59">
        <w:rPr>
          <w:b/>
          <w:lang w:val="en-CA"/>
        </w:rPr>
        <w:t xml:space="preserve">Mr. </w:t>
      </w:r>
      <w:proofErr w:type="spellStart"/>
      <w:r w:rsidRPr="00797D59">
        <w:rPr>
          <w:b/>
          <w:lang w:val="en-CA"/>
        </w:rPr>
        <w:t>Zwozdesky</w:t>
      </w:r>
      <w:proofErr w:type="spellEnd"/>
      <w:r w:rsidRPr="00797D59">
        <w:rPr>
          <w:b/>
          <w:lang w:val="en-CA"/>
        </w:rPr>
        <w:t>:</w:t>
      </w:r>
      <w:r w:rsidRPr="00797D59">
        <w:rPr>
          <w:lang w:val="en-CA"/>
        </w:rPr>
        <w:t xml:space="preserve"> Thank you ve</w:t>
      </w:r>
      <w:r>
        <w:rPr>
          <w:lang w:val="en-CA"/>
        </w:rPr>
        <w:t xml:space="preserve">ry much, Mr. Chairman, and good </w:t>
      </w:r>
      <w:r w:rsidRPr="00797D59">
        <w:rPr>
          <w:lang w:val="en-CA"/>
        </w:rPr>
        <w:t>afternoon, everyone. I want to ju</w:t>
      </w:r>
      <w:r>
        <w:rPr>
          <w:lang w:val="en-CA"/>
        </w:rPr>
        <w:t xml:space="preserve">st quickly introduce some of my </w:t>
      </w:r>
      <w:r w:rsidRPr="00797D59">
        <w:rPr>
          <w:lang w:val="en-CA"/>
        </w:rPr>
        <w:t>staff who are here: my deputy m</w:t>
      </w:r>
      <w:r>
        <w:rPr>
          <w:lang w:val="en-CA"/>
        </w:rPr>
        <w:t xml:space="preserve">inister, Jay </w:t>
      </w:r>
      <w:proofErr w:type="spellStart"/>
      <w:r>
        <w:rPr>
          <w:lang w:val="en-CA"/>
        </w:rPr>
        <w:t>Ramotar</w:t>
      </w:r>
      <w:proofErr w:type="spellEnd"/>
      <w:r>
        <w:rPr>
          <w:lang w:val="en-CA"/>
        </w:rPr>
        <w:t xml:space="preserve">; Assistant </w:t>
      </w:r>
      <w:r w:rsidRPr="00797D59">
        <w:rPr>
          <w:lang w:val="en-CA"/>
        </w:rPr>
        <w:t xml:space="preserve">Deputy Minister David </w:t>
      </w:r>
      <w:proofErr w:type="spellStart"/>
      <w:r w:rsidRPr="00797D59">
        <w:rPr>
          <w:lang w:val="en-CA"/>
        </w:rPr>
        <w:t>Break</w:t>
      </w:r>
      <w:r>
        <w:rPr>
          <w:lang w:val="en-CA"/>
        </w:rPr>
        <w:t>well</w:t>
      </w:r>
      <w:proofErr w:type="spellEnd"/>
      <w:r>
        <w:rPr>
          <w:lang w:val="en-CA"/>
        </w:rPr>
        <w:t xml:space="preserve">; Assistant Deputy Minister </w:t>
      </w:r>
      <w:r w:rsidRPr="00797D59">
        <w:rPr>
          <w:lang w:val="en-CA"/>
        </w:rPr>
        <w:t>Susan Williams; Assistant Depu</w:t>
      </w:r>
      <w:r>
        <w:rPr>
          <w:lang w:val="en-CA"/>
        </w:rPr>
        <w:t xml:space="preserve">ty Minister Martin Chamberlain; </w:t>
      </w:r>
      <w:r w:rsidRPr="00797D59">
        <w:rPr>
          <w:lang w:val="en-CA"/>
        </w:rPr>
        <w:t>Assistant Deputy Minister Margaret K</w:t>
      </w:r>
      <w:r>
        <w:rPr>
          <w:lang w:val="en-CA"/>
        </w:rPr>
        <w:t xml:space="preserve">ing; and the executive director </w:t>
      </w:r>
      <w:r w:rsidRPr="00797D59">
        <w:rPr>
          <w:lang w:val="en-CA"/>
        </w:rPr>
        <w:t>of financial planning, Charlene Wong.</w:t>
      </w:r>
    </w:p>
    <w:p w:rsidR="00797D59" w:rsidRPr="00797D59" w:rsidRDefault="00797D59" w:rsidP="00797D59">
      <w:pPr>
        <w:jc w:val="both"/>
        <w:rPr>
          <w:lang w:val="en-CA"/>
        </w:rPr>
      </w:pPr>
    </w:p>
    <w:p w:rsidR="00797D59" w:rsidRPr="00797D59" w:rsidRDefault="00797D59" w:rsidP="00797D59">
      <w:pPr>
        <w:jc w:val="both"/>
        <w:rPr>
          <w:lang w:val="en-CA"/>
        </w:rPr>
      </w:pPr>
      <w:r w:rsidRPr="00797D59">
        <w:rPr>
          <w:lang w:val="en-CA"/>
        </w:rPr>
        <w:t>Mr. Chair, time is limited. I’ll cut st</w:t>
      </w:r>
      <w:r>
        <w:rPr>
          <w:lang w:val="en-CA"/>
        </w:rPr>
        <w:t xml:space="preserve">raight to the chase by starting </w:t>
      </w:r>
      <w:r w:rsidRPr="00797D59">
        <w:rPr>
          <w:lang w:val="en-CA"/>
        </w:rPr>
        <w:t>off with our Ministry of He</w:t>
      </w:r>
      <w:r>
        <w:rPr>
          <w:lang w:val="en-CA"/>
        </w:rPr>
        <w:t>alth and Wellness business p</w:t>
      </w:r>
      <w:bookmarkStart w:id="0" w:name="_GoBack"/>
      <w:bookmarkEnd w:id="0"/>
      <w:r>
        <w:rPr>
          <w:lang w:val="en-CA"/>
        </w:rPr>
        <w:t xml:space="preserve">lan </w:t>
      </w:r>
      <w:r w:rsidRPr="00797D59">
        <w:rPr>
          <w:lang w:val="en-CA"/>
        </w:rPr>
        <w:t>goals. There are four goals, as people pr</w:t>
      </w:r>
      <w:r>
        <w:rPr>
          <w:lang w:val="en-CA"/>
        </w:rPr>
        <w:t xml:space="preserve">obably know, in this particular </w:t>
      </w:r>
      <w:r w:rsidRPr="00797D59">
        <w:rPr>
          <w:lang w:val="en-CA"/>
        </w:rPr>
        <w:t>order: effective health syst</w:t>
      </w:r>
      <w:r>
        <w:rPr>
          <w:lang w:val="en-CA"/>
        </w:rPr>
        <w:t xml:space="preserve">em accountability, strengthened </w:t>
      </w:r>
      <w:r w:rsidRPr="00797D59">
        <w:rPr>
          <w:lang w:val="en-CA"/>
        </w:rPr>
        <w:t>public health and healthy livin</w:t>
      </w:r>
      <w:r>
        <w:rPr>
          <w:lang w:val="en-CA"/>
        </w:rPr>
        <w:t xml:space="preserve">g, appropriate health workforce </w:t>
      </w:r>
      <w:r w:rsidRPr="00797D59">
        <w:rPr>
          <w:lang w:val="en-CA"/>
        </w:rPr>
        <w:t>utilization, and excellence in health care.</w:t>
      </w:r>
    </w:p>
    <w:p w:rsidR="00797D59" w:rsidRDefault="00797D59" w:rsidP="00797D59">
      <w:pPr>
        <w:jc w:val="both"/>
        <w:rPr>
          <w:lang w:val="en-CA"/>
        </w:rPr>
      </w:pPr>
    </w:p>
    <w:p w:rsidR="00797D59" w:rsidRDefault="00797D59" w:rsidP="00797D59">
      <w:pPr>
        <w:jc w:val="both"/>
        <w:rPr>
          <w:lang w:val="en-CA"/>
        </w:rPr>
      </w:pPr>
      <w:r w:rsidRPr="00797D59">
        <w:rPr>
          <w:lang w:val="en-CA"/>
        </w:rPr>
        <w:t>There are several priority initi</w:t>
      </w:r>
      <w:r>
        <w:rPr>
          <w:lang w:val="en-CA"/>
        </w:rPr>
        <w:t xml:space="preserve">atives under each of these four </w:t>
      </w:r>
      <w:r w:rsidRPr="00797D59">
        <w:rPr>
          <w:lang w:val="en-CA"/>
        </w:rPr>
        <w:t>goals, and I will highlight only nine o</w:t>
      </w:r>
      <w:r>
        <w:rPr>
          <w:lang w:val="en-CA"/>
        </w:rPr>
        <w:t xml:space="preserve">f them at this time as follows: </w:t>
      </w:r>
      <w:r w:rsidRPr="00797D59">
        <w:rPr>
          <w:lang w:val="en-CA"/>
        </w:rPr>
        <w:t>to lead the health capital plannin</w:t>
      </w:r>
      <w:r>
        <w:rPr>
          <w:lang w:val="en-CA"/>
        </w:rPr>
        <w:t xml:space="preserve">g process; to implement service </w:t>
      </w:r>
      <w:r w:rsidRPr="00797D59">
        <w:rPr>
          <w:lang w:val="en-CA"/>
        </w:rPr>
        <w:t>delivery enhancements and activitie</w:t>
      </w:r>
      <w:r>
        <w:rPr>
          <w:lang w:val="en-CA"/>
        </w:rPr>
        <w:t xml:space="preserve">s in Alberta’s five-year health </w:t>
      </w:r>
      <w:r w:rsidRPr="00797D59">
        <w:rPr>
          <w:lang w:val="en-CA"/>
        </w:rPr>
        <w:t>action plan; to implement the next st</w:t>
      </w:r>
      <w:r>
        <w:rPr>
          <w:lang w:val="en-CA"/>
        </w:rPr>
        <w:t xml:space="preserve">eps of the Putting People First </w:t>
      </w:r>
      <w:r w:rsidRPr="00797D59">
        <w:rPr>
          <w:lang w:val="en-CA"/>
        </w:rPr>
        <w:t>report, including the advancement of t</w:t>
      </w:r>
      <w:r>
        <w:rPr>
          <w:lang w:val="en-CA"/>
        </w:rPr>
        <w:t xml:space="preserve">he Alberta Health Act, a public </w:t>
      </w:r>
      <w:r w:rsidRPr="00797D59">
        <w:rPr>
          <w:lang w:val="en-CA"/>
        </w:rPr>
        <w:t>engagement framework, a health ch</w:t>
      </w:r>
      <w:r>
        <w:rPr>
          <w:lang w:val="en-CA"/>
        </w:rPr>
        <w:t xml:space="preserve">arter for Alberta, and a health </w:t>
      </w:r>
      <w:r w:rsidRPr="00797D59">
        <w:rPr>
          <w:lang w:val="en-CA"/>
        </w:rPr>
        <w:t>advocate; to implement a welln</w:t>
      </w:r>
      <w:r>
        <w:rPr>
          <w:lang w:val="en-CA"/>
        </w:rPr>
        <w:t xml:space="preserve">ess framework for Albertans; to </w:t>
      </w:r>
      <w:r w:rsidRPr="00797D59">
        <w:rPr>
          <w:lang w:val="en-CA"/>
        </w:rPr>
        <w:t>strengthen the primary health ca</w:t>
      </w:r>
      <w:r>
        <w:rPr>
          <w:lang w:val="en-CA"/>
        </w:rPr>
        <w:t xml:space="preserve">re system; to improve access to </w:t>
      </w:r>
      <w:r w:rsidRPr="00797D59">
        <w:rPr>
          <w:lang w:val="en-CA"/>
        </w:rPr>
        <w:t>clinical care and treatment through s</w:t>
      </w:r>
      <w:r>
        <w:rPr>
          <w:lang w:val="en-CA"/>
        </w:rPr>
        <w:t xml:space="preserve">trategies such as managing wait </w:t>
      </w:r>
      <w:r w:rsidRPr="00797D59">
        <w:rPr>
          <w:lang w:val="en-CA"/>
        </w:rPr>
        <w:t>times, achieved through efficient an</w:t>
      </w:r>
      <w:r>
        <w:rPr>
          <w:lang w:val="en-CA"/>
        </w:rPr>
        <w:t xml:space="preserve">d effective use of an available </w:t>
      </w:r>
      <w:r w:rsidRPr="00797D59">
        <w:rPr>
          <w:lang w:val="en-CA"/>
        </w:rPr>
        <w:t>workforce, clinical facilities, and ne</w:t>
      </w:r>
      <w:r>
        <w:rPr>
          <w:lang w:val="en-CA"/>
        </w:rPr>
        <w:t xml:space="preserve">w and existing technologies; to </w:t>
      </w:r>
      <w:r w:rsidRPr="00797D59">
        <w:rPr>
          <w:lang w:val="en-CA"/>
        </w:rPr>
        <w:t>provide appropriate access to servic</w:t>
      </w:r>
      <w:r>
        <w:rPr>
          <w:lang w:val="en-CA"/>
        </w:rPr>
        <w:t xml:space="preserve">es across the continuum of care </w:t>
      </w:r>
      <w:r w:rsidRPr="00797D59">
        <w:rPr>
          <w:lang w:val="en-CA"/>
        </w:rPr>
        <w:t>by increasing the co-ordination of hea</w:t>
      </w:r>
      <w:r>
        <w:rPr>
          <w:lang w:val="en-CA"/>
        </w:rPr>
        <w:t xml:space="preserve">lth and social support systems; </w:t>
      </w:r>
      <w:r w:rsidRPr="00797D59">
        <w:rPr>
          <w:lang w:val="en-CA"/>
        </w:rPr>
        <w:t>to reduce continuing care wait times by implementi</w:t>
      </w:r>
      <w:r>
        <w:rPr>
          <w:lang w:val="en-CA"/>
        </w:rPr>
        <w:t xml:space="preserve">ng the continuing </w:t>
      </w:r>
      <w:r w:rsidRPr="00797D59">
        <w:rPr>
          <w:lang w:val="en-CA"/>
        </w:rPr>
        <w:t xml:space="preserve">care strategy and expanding </w:t>
      </w:r>
      <w:r>
        <w:rPr>
          <w:lang w:val="en-CA"/>
        </w:rPr>
        <w:t xml:space="preserve">home-care options and community </w:t>
      </w:r>
      <w:r w:rsidRPr="00797D59">
        <w:rPr>
          <w:lang w:val="en-CA"/>
        </w:rPr>
        <w:t xml:space="preserve">capacity for supportive living; and to </w:t>
      </w:r>
      <w:r>
        <w:rPr>
          <w:lang w:val="en-CA"/>
        </w:rPr>
        <w:t xml:space="preserve">develop and implement Alberta’s </w:t>
      </w:r>
      <w:r w:rsidRPr="00797D59">
        <w:rPr>
          <w:lang w:val="en-CA"/>
        </w:rPr>
        <w:t>provincial plan for cancer care.</w:t>
      </w:r>
    </w:p>
    <w:p w:rsidR="00797D59" w:rsidRPr="00797D59" w:rsidRDefault="00797D59" w:rsidP="00797D59">
      <w:pPr>
        <w:jc w:val="both"/>
        <w:rPr>
          <w:lang w:val="en-CA"/>
        </w:rPr>
      </w:pPr>
    </w:p>
    <w:p w:rsidR="00797D59" w:rsidRDefault="00797D59" w:rsidP="00797D59">
      <w:pPr>
        <w:jc w:val="both"/>
        <w:rPr>
          <w:lang w:val="en-CA"/>
        </w:rPr>
      </w:pPr>
      <w:r w:rsidRPr="00797D59">
        <w:rPr>
          <w:lang w:val="en-CA"/>
        </w:rPr>
        <w:t>There are, of course, numerous o</w:t>
      </w:r>
      <w:r>
        <w:rPr>
          <w:lang w:val="en-CA"/>
        </w:rPr>
        <w:t xml:space="preserve">ther initiatives and strategies </w:t>
      </w:r>
      <w:r w:rsidRPr="00797D59">
        <w:rPr>
          <w:lang w:val="en-CA"/>
        </w:rPr>
        <w:t>that round out our plan. Nonetheless</w:t>
      </w:r>
      <w:r>
        <w:rPr>
          <w:lang w:val="en-CA"/>
        </w:rPr>
        <w:t xml:space="preserve">, each goal is also accompanied </w:t>
      </w:r>
      <w:r w:rsidRPr="00797D59">
        <w:rPr>
          <w:lang w:val="en-CA"/>
        </w:rPr>
        <w:t>by associated performance m</w:t>
      </w:r>
      <w:r>
        <w:rPr>
          <w:lang w:val="en-CA"/>
        </w:rPr>
        <w:t xml:space="preserve">easures. In total we have 50 of </w:t>
      </w:r>
      <w:r w:rsidRPr="00797D59">
        <w:rPr>
          <w:lang w:val="en-CA"/>
        </w:rPr>
        <w:t>those performance measures that were released last year.</w:t>
      </w:r>
    </w:p>
    <w:p w:rsidR="00797D59" w:rsidRPr="00797D59" w:rsidRDefault="00797D59" w:rsidP="00797D59">
      <w:pPr>
        <w:jc w:val="both"/>
        <w:rPr>
          <w:lang w:val="en-CA"/>
        </w:rPr>
      </w:pPr>
    </w:p>
    <w:p w:rsidR="00797D59" w:rsidRPr="00797D59" w:rsidRDefault="00797D59" w:rsidP="00797D59">
      <w:pPr>
        <w:jc w:val="both"/>
        <w:rPr>
          <w:lang w:val="en-CA"/>
        </w:rPr>
      </w:pPr>
      <w:r w:rsidRPr="00797D59">
        <w:rPr>
          <w:lang w:val="en-CA"/>
        </w:rPr>
        <w:t>Moving on to Budget 2011, clea</w:t>
      </w:r>
      <w:r>
        <w:rPr>
          <w:lang w:val="en-CA"/>
        </w:rPr>
        <w:t xml:space="preserve">rly, Mr. Chairman, stability is </w:t>
      </w:r>
      <w:r w:rsidRPr="00797D59">
        <w:rPr>
          <w:lang w:val="en-CA"/>
        </w:rPr>
        <w:t>probably one of the most importan</w:t>
      </w:r>
      <w:r>
        <w:rPr>
          <w:lang w:val="en-CA"/>
        </w:rPr>
        <w:t xml:space="preserve">t messages delivered by Alberta </w:t>
      </w:r>
      <w:r w:rsidRPr="00797D59">
        <w:rPr>
          <w:lang w:val="en-CA"/>
        </w:rPr>
        <w:t>Health and Wellness through our n</w:t>
      </w:r>
      <w:r>
        <w:rPr>
          <w:lang w:val="en-CA"/>
        </w:rPr>
        <w:t xml:space="preserve">ew budget. There are no cuts to </w:t>
      </w:r>
      <w:r w:rsidRPr="00797D59">
        <w:rPr>
          <w:lang w:val="en-CA"/>
        </w:rPr>
        <w:t>programs in this budget. In fact, i</w:t>
      </w:r>
      <w:r>
        <w:rPr>
          <w:lang w:val="en-CA"/>
        </w:rPr>
        <w:t xml:space="preserve">t’s a budget that reaffirms our </w:t>
      </w:r>
      <w:r w:rsidRPr="00797D59">
        <w:rPr>
          <w:lang w:val="en-CA"/>
        </w:rPr>
        <w:t>commitment to predictable, long-</w:t>
      </w:r>
      <w:r>
        <w:rPr>
          <w:lang w:val="en-CA"/>
        </w:rPr>
        <w:t xml:space="preserve">term funding for Alberta Health </w:t>
      </w:r>
      <w:r w:rsidRPr="00797D59">
        <w:rPr>
          <w:lang w:val="en-CA"/>
        </w:rPr>
        <w:t>Services. Budget 2011 also marks</w:t>
      </w:r>
      <w:r>
        <w:rPr>
          <w:lang w:val="en-CA"/>
        </w:rPr>
        <w:t xml:space="preserve"> the second year of a five-year </w:t>
      </w:r>
      <w:r w:rsidRPr="00797D59">
        <w:rPr>
          <w:lang w:val="en-CA"/>
        </w:rPr>
        <w:t>funding commitment that provides</w:t>
      </w:r>
      <w:r>
        <w:rPr>
          <w:lang w:val="en-CA"/>
        </w:rPr>
        <w:t xml:space="preserve"> Alberta Health Services with 6 </w:t>
      </w:r>
      <w:r w:rsidRPr="00797D59">
        <w:rPr>
          <w:lang w:val="en-CA"/>
        </w:rPr>
        <w:t>per cent base operating increases i</w:t>
      </w:r>
      <w:r>
        <w:rPr>
          <w:lang w:val="en-CA"/>
        </w:rPr>
        <w:t xml:space="preserve">n each of the first three years </w:t>
      </w:r>
      <w:r w:rsidRPr="00797D59">
        <w:rPr>
          <w:lang w:val="en-CA"/>
        </w:rPr>
        <w:t>and 4.5 per cent increases in each of years 4 and 5, an unpreceden</w:t>
      </w:r>
      <w:r>
        <w:rPr>
          <w:lang w:val="en-CA"/>
        </w:rPr>
        <w:t xml:space="preserve">ted </w:t>
      </w:r>
      <w:r w:rsidRPr="00797D59">
        <w:rPr>
          <w:lang w:val="en-CA"/>
        </w:rPr>
        <w:t>commitment by any pro</w:t>
      </w:r>
      <w:r>
        <w:rPr>
          <w:lang w:val="en-CA"/>
        </w:rPr>
        <w:t xml:space="preserve">vincial government in Canada to </w:t>
      </w:r>
      <w:r w:rsidRPr="00797D59">
        <w:rPr>
          <w:lang w:val="en-CA"/>
        </w:rPr>
        <w:t>date. It’s the first of its kind, and we’re very proud of it.</w:t>
      </w:r>
    </w:p>
    <w:p w:rsidR="00797D59" w:rsidRPr="00797D59" w:rsidRDefault="00797D59" w:rsidP="00797D59">
      <w:pPr>
        <w:jc w:val="both"/>
        <w:rPr>
          <w:lang w:val="en-CA"/>
        </w:rPr>
      </w:pPr>
      <w:r w:rsidRPr="00797D59">
        <w:rPr>
          <w:lang w:val="en-CA"/>
        </w:rPr>
        <w:lastRenderedPageBreak/>
        <w:t xml:space="preserve">The stable 6 per cent funding </w:t>
      </w:r>
      <w:r>
        <w:rPr>
          <w:lang w:val="en-CA"/>
        </w:rPr>
        <w:t xml:space="preserve">increase, which amounts to $545 </w:t>
      </w:r>
      <w:r w:rsidRPr="00797D59">
        <w:rPr>
          <w:lang w:val="en-CA"/>
        </w:rPr>
        <w:t>million for Alberta Health Service</w:t>
      </w:r>
      <w:r>
        <w:rPr>
          <w:lang w:val="en-CA"/>
        </w:rPr>
        <w:t xml:space="preserve">s, provides necessary monies to </w:t>
      </w:r>
      <w:r w:rsidRPr="00797D59">
        <w:rPr>
          <w:lang w:val="en-CA"/>
        </w:rPr>
        <w:t>continue implementing our five-yea</w:t>
      </w:r>
      <w:r>
        <w:rPr>
          <w:lang w:val="en-CA"/>
        </w:rPr>
        <w:t xml:space="preserve">r health action plan to improve </w:t>
      </w:r>
      <w:r w:rsidRPr="00797D59">
        <w:rPr>
          <w:lang w:val="en-CA"/>
        </w:rPr>
        <w:t>Albertans’ access to the health sys</w:t>
      </w:r>
      <w:r>
        <w:rPr>
          <w:lang w:val="en-CA"/>
        </w:rPr>
        <w:t xml:space="preserve">tem and to provide shorter wait </w:t>
      </w:r>
      <w:r w:rsidRPr="00797D59">
        <w:rPr>
          <w:lang w:val="en-CA"/>
        </w:rPr>
        <w:t>times and safe quality care.</w:t>
      </w:r>
    </w:p>
    <w:p w:rsidR="00797D59" w:rsidRDefault="00797D59" w:rsidP="00797D59">
      <w:pPr>
        <w:jc w:val="both"/>
        <w:rPr>
          <w:lang w:val="en-CA"/>
        </w:rPr>
      </w:pPr>
    </w:p>
    <w:p w:rsidR="00797D59" w:rsidRDefault="00797D59" w:rsidP="00797D59">
      <w:pPr>
        <w:jc w:val="both"/>
        <w:rPr>
          <w:lang w:val="en-CA"/>
        </w:rPr>
      </w:pPr>
      <w:r w:rsidRPr="00797D59">
        <w:rPr>
          <w:lang w:val="en-CA"/>
        </w:rPr>
        <w:t>In terms of operating expenses f</w:t>
      </w:r>
      <w:r>
        <w:rPr>
          <w:lang w:val="en-CA"/>
        </w:rPr>
        <w:t xml:space="preserve">or Alberta Health Services it’s </w:t>
      </w:r>
      <w:r w:rsidRPr="00797D59">
        <w:rPr>
          <w:lang w:val="en-CA"/>
        </w:rPr>
        <w:t>important to note that the 2011-12 Heal</w:t>
      </w:r>
      <w:r>
        <w:rPr>
          <w:lang w:val="en-CA"/>
        </w:rPr>
        <w:t xml:space="preserve">th and Wellness budget is </w:t>
      </w:r>
      <w:r w:rsidRPr="00797D59">
        <w:rPr>
          <w:lang w:val="en-CA"/>
        </w:rPr>
        <w:t>$14.9 billion, an increase of $646 m</w:t>
      </w:r>
      <w:r>
        <w:rPr>
          <w:lang w:val="en-CA"/>
        </w:rPr>
        <w:t xml:space="preserve">illion to our overall operating </w:t>
      </w:r>
      <w:r w:rsidRPr="00797D59">
        <w:rPr>
          <w:lang w:val="en-CA"/>
        </w:rPr>
        <w:t>budget. That Health and Wellnes</w:t>
      </w:r>
      <w:r>
        <w:rPr>
          <w:lang w:val="en-CA"/>
        </w:rPr>
        <w:t xml:space="preserve">s budget, as you know, is split </w:t>
      </w:r>
      <w:r w:rsidRPr="00797D59">
        <w:rPr>
          <w:lang w:val="en-CA"/>
        </w:rPr>
        <w:t>amongst the department and, of c</w:t>
      </w:r>
      <w:r>
        <w:rPr>
          <w:lang w:val="en-CA"/>
        </w:rPr>
        <w:t xml:space="preserve">ourse, Alberta Health Services. </w:t>
      </w:r>
      <w:r w:rsidRPr="00797D59">
        <w:rPr>
          <w:lang w:val="en-CA"/>
        </w:rPr>
        <w:t>Alberta Health Services itself is get</w:t>
      </w:r>
      <w:r>
        <w:rPr>
          <w:lang w:val="en-CA"/>
        </w:rPr>
        <w:t xml:space="preserve">ting a 6 per cent increase, but </w:t>
      </w:r>
      <w:r w:rsidRPr="00797D59">
        <w:rPr>
          <w:lang w:val="en-CA"/>
        </w:rPr>
        <w:t>when you combine the two with t</w:t>
      </w:r>
      <w:r>
        <w:rPr>
          <w:lang w:val="en-CA"/>
        </w:rPr>
        <w:t xml:space="preserve">he department, the net increase </w:t>
      </w:r>
      <w:r w:rsidRPr="00797D59">
        <w:rPr>
          <w:lang w:val="en-CA"/>
        </w:rPr>
        <w:t>for the two combined is 4.6 pe</w:t>
      </w:r>
      <w:r>
        <w:rPr>
          <w:lang w:val="en-CA"/>
        </w:rPr>
        <w:t xml:space="preserve">r cent to our overall operating </w:t>
      </w:r>
      <w:r w:rsidRPr="00797D59">
        <w:rPr>
          <w:lang w:val="en-CA"/>
        </w:rPr>
        <w:t>budget.</w:t>
      </w:r>
    </w:p>
    <w:p w:rsidR="00797D59" w:rsidRPr="00797D59" w:rsidRDefault="00797D59" w:rsidP="00797D59">
      <w:pPr>
        <w:jc w:val="both"/>
        <w:rPr>
          <w:lang w:val="en-CA"/>
        </w:rPr>
      </w:pPr>
    </w:p>
    <w:p w:rsidR="00797D59" w:rsidRPr="00797D59" w:rsidRDefault="00797D59" w:rsidP="00797D59">
      <w:pPr>
        <w:jc w:val="both"/>
        <w:rPr>
          <w:lang w:val="en-CA"/>
        </w:rPr>
      </w:pPr>
      <w:r w:rsidRPr="00797D59">
        <w:rPr>
          <w:lang w:val="en-CA"/>
        </w:rPr>
        <w:t>It’s important to note, Mr. Chair</w:t>
      </w:r>
      <w:r>
        <w:rPr>
          <w:lang w:val="en-CA"/>
        </w:rPr>
        <w:t xml:space="preserve">man, that that does not include </w:t>
      </w:r>
      <w:r w:rsidRPr="00797D59">
        <w:rPr>
          <w:lang w:val="en-CA"/>
        </w:rPr>
        <w:t>funding that was provided on a one-ti</w:t>
      </w:r>
      <w:r>
        <w:rPr>
          <w:lang w:val="en-CA"/>
        </w:rPr>
        <w:t xml:space="preserve">me basis in 2010-11 for Alberta </w:t>
      </w:r>
      <w:r w:rsidRPr="00797D59">
        <w:rPr>
          <w:lang w:val="en-CA"/>
        </w:rPr>
        <w:t>Health Services’ deficit elimination plan.</w:t>
      </w:r>
    </w:p>
    <w:p w:rsidR="00797D59" w:rsidRDefault="00797D59" w:rsidP="00797D59">
      <w:pPr>
        <w:jc w:val="both"/>
        <w:rPr>
          <w:lang w:val="en-CA"/>
        </w:rPr>
      </w:pPr>
    </w:p>
    <w:p w:rsidR="00797D59" w:rsidRDefault="00797D59" w:rsidP="00797D59">
      <w:pPr>
        <w:jc w:val="both"/>
        <w:rPr>
          <w:lang w:val="en-CA"/>
        </w:rPr>
      </w:pPr>
      <w:r w:rsidRPr="00797D59">
        <w:rPr>
          <w:lang w:val="en-CA"/>
        </w:rPr>
        <w:t>Our budget is made up of $14.</w:t>
      </w:r>
      <w:r>
        <w:rPr>
          <w:lang w:val="en-CA"/>
        </w:rPr>
        <w:t xml:space="preserve">8 billion in operating expenses </w:t>
      </w:r>
      <w:r w:rsidRPr="00797D59">
        <w:rPr>
          <w:lang w:val="en-CA"/>
        </w:rPr>
        <w:t>and $134 million for vaccine utiliza</w:t>
      </w:r>
      <w:r>
        <w:rPr>
          <w:lang w:val="en-CA"/>
        </w:rPr>
        <w:t xml:space="preserve">tion, amortization, and capital </w:t>
      </w:r>
      <w:r w:rsidRPr="00797D59">
        <w:rPr>
          <w:lang w:val="en-CA"/>
        </w:rPr>
        <w:t>grants such as equipment. These c</w:t>
      </w:r>
      <w:r>
        <w:rPr>
          <w:lang w:val="en-CA"/>
        </w:rPr>
        <w:t xml:space="preserve">apital grants are primarily for </w:t>
      </w:r>
      <w:r w:rsidRPr="00797D59">
        <w:rPr>
          <w:lang w:val="en-CA"/>
        </w:rPr>
        <w:t>diagnostic and related medical equ</w:t>
      </w:r>
      <w:r>
        <w:rPr>
          <w:lang w:val="en-CA"/>
        </w:rPr>
        <w:t xml:space="preserve">ipment that’s necessary as well </w:t>
      </w:r>
      <w:r w:rsidRPr="00797D59">
        <w:rPr>
          <w:lang w:val="en-CA"/>
        </w:rPr>
        <w:t>as health information systems.</w:t>
      </w:r>
    </w:p>
    <w:p w:rsidR="00797D59" w:rsidRPr="00797D59" w:rsidRDefault="00797D59" w:rsidP="00797D59">
      <w:pPr>
        <w:jc w:val="both"/>
        <w:rPr>
          <w:lang w:val="en-CA"/>
        </w:rPr>
      </w:pPr>
    </w:p>
    <w:p w:rsidR="00797D59" w:rsidRDefault="00797D59" w:rsidP="00797D59">
      <w:pPr>
        <w:jc w:val="both"/>
        <w:rPr>
          <w:lang w:val="en-CA"/>
        </w:rPr>
      </w:pPr>
      <w:r w:rsidRPr="00797D59">
        <w:rPr>
          <w:lang w:val="en-CA"/>
        </w:rPr>
        <w:t>Operating expenses are made up of four major</w:t>
      </w:r>
      <w:r>
        <w:rPr>
          <w:lang w:val="en-CA"/>
        </w:rPr>
        <w:t xml:space="preserve"> components: </w:t>
      </w:r>
      <w:r w:rsidRPr="00797D59">
        <w:rPr>
          <w:lang w:val="en-CA"/>
        </w:rPr>
        <w:t>$9.6 billion for Alberta Health Ser</w:t>
      </w:r>
      <w:r>
        <w:rPr>
          <w:lang w:val="en-CA"/>
        </w:rPr>
        <w:t xml:space="preserve">vices for base operating costs, </w:t>
      </w:r>
      <w:r w:rsidRPr="00797D59">
        <w:rPr>
          <w:lang w:val="en-CA"/>
        </w:rPr>
        <w:t>$3.3 billion for physician comp</w:t>
      </w:r>
      <w:r>
        <w:rPr>
          <w:lang w:val="en-CA"/>
        </w:rPr>
        <w:t xml:space="preserve">ensation and development costs, </w:t>
      </w:r>
      <w:r w:rsidRPr="00797D59">
        <w:rPr>
          <w:lang w:val="en-CA"/>
        </w:rPr>
        <w:t>$1 billion for drugs and other hea</w:t>
      </w:r>
      <w:r>
        <w:rPr>
          <w:lang w:val="en-CA"/>
        </w:rPr>
        <w:t xml:space="preserve">lth benefits for Albertans, and </w:t>
      </w:r>
      <w:r w:rsidRPr="00797D59">
        <w:rPr>
          <w:lang w:val="en-CA"/>
        </w:rPr>
        <w:t>$800 mil</w:t>
      </w:r>
      <w:r>
        <w:rPr>
          <w:lang w:val="en-CA"/>
        </w:rPr>
        <w:t xml:space="preserve">lion for other health services. </w:t>
      </w:r>
      <w:r w:rsidRPr="00797D59">
        <w:rPr>
          <w:lang w:val="en-CA"/>
        </w:rPr>
        <w:t>So let’s take a quick look at Alberta Health Services’ budget.</w:t>
      </w:r>
    </w:p>
    <w:p w:rsidR="00797D59" w:rsidRPr="00797D59" w:rsidRDefault="00797D59" w:rsidP="00797D59">
      <w:pPr>
        <w:jc w:val="both"/>
        <w:rPr>
          <w:lang w:val="en-CA"/>
        </w:rPr>
      </w:pPr>
    </w:p>
    <w:p w:rsidR="00797D59" w:rsidRDefault="00797D59" w:rsidP="00797D59">
      <w:pPr>
        <w:jc w:val="both"/>
        <w:rPr>
          <w:lang w:val="en-CA"/>
        </w:rPr>
      </w:pPr>
      <w:r w:rsidRPr="00797D59">
        <w:rPr>
          <w:lang w:val="en-CA"/>
        </w:rPr>
        <w:t>As I mentioned, this budget reflec</w:t>
      </w:r>
      <w:r>
        <w:rPr>
          <w:lang w:val="en-CA"/>
        </w:rPr>
        <w:t xml:space="preserve">ts a 6 per cent increase in the </w:t>
      </w:r>
      <w:r w:rsidRPr="00797D59">
        <w:rPr>
          <w:lang w:val="en-CA"/>
        </w:rPr>
        <w:t>second year of the five-year health act</w:t>
      </w:r>
      <w:r>
        <w:rPr>
          <w:lang w:val="en-CA"/>
        </w:rPr>
        <w:t xml:space="preserve">ion plan. AHS will be receiving </w:t>
      </w:r>
      <w:r w:rsidRPr="00797D59">
        <w:rPr>
          <w:lang w:val="en-CA"/>
        </w:rPr>
        <w:t>an additional $545 million a</w:t>
      </w:r>
      <w:r>
        <w:rPr>
          <w:lang w:val="en-CA"/>
        </w:rPr>
        <w:t xml:space="preserve">s promised, for a total of $9.6 </w:t>
      </w:r>
      <w:r w:rsidRPr="00797D59">
        <w:rPr>
          <w:lang w:val="en-CA"/>
        </w:rPr>
        <w:t>billion in their base operating funding</w:t>
      </w:r>
      <w:r>
        <w:rPr>
          <w:lang w:val="en-CA"/>
        </w:rPr>
        <w:t xml:space="preserve">. While Alberta Health Services </w:t>
      </w:r>
      <w:r w:rsidRPr="00797D59">
        <w:rPr>
          <w:lang w:val="en-CA"/>
        </w:rPr>
        <w:t>is responsible for allocati</w:t>
      </w:r>
      <w:r>
        <w:rPr>
          <w:lang w:val="en-CA"/>
        </w:rPr>
        <w:t xml:space="preserve">ng funding to specific areas, I </w:t>
      </w:r>
      <w:r w:rsidRPr="00797D59">
        <w:rPr>
          <w:lang w:val="en-CA"/>
        </w:rPr>
        <w:t xml:space="preserve">would like to give you a sense of </w:t>
      </w:r>
      <w:r>
        <w:rPr>
          <w:lang w:val="en-CA"/>
        </w:rPr>
        <w:t xml:space="preserve">how that funding is anticipated </w:t>
      </w:r>
      <w:r w:rsidRPr="00797D59">
        <w:rPr>
          <w:lang w:val="en-CA"/>
        </w:rPr>
        <w:t>to be used.</w:t>
      </w:r>
    </w:p>
    <w:p w:rsidR="00797D59" w:rsidRPr="00797D59" w:rsidRDefault="00797D59" w:rsidP="00797D59">
      <w:pPr>
        <w:jc w:val="both"/>
        <w:rPr>
          <w:lang w:val="en-CA"/>
        </w:rPr>
      </w:pPr>
    </w:p>
    <w:p w:rsidR="00797D59" w:rsidRDefault="00797D59" w:rsidP="00797D59">
      <w:pPr>
        <w:jc w:val="both"/>
        <w:rPr>
          <w:lang w:val="en-CA"/>
        </w:rPr>
      </w:pPr>
      <w:r w:rsidRPr="00797D59">
        <w:rPr>
          <w:lang w:val="en-CA"/>
        </w:rPr>
        <w:t>For example, $3.7 billion of the base operating gra</w:t>
      </w:r>
      <w:r>
        <w:rPr>
          <w:lang w:val="en-CA"/>
        </w:rPr>
        <w:t xml:space="preserve">nt is expected </w:t>
      </w:r>
      <w:r w:rsidRPr="00797D59">
        <w:rPr>
          <w:lang w:val="en-CA"/>
        </w:rPr>
        <w:t>to be spent by Alberta Health Ser</w:t>
      </w:r>
      <w:r>
        <w:rPr>
          <w:lang w:val="en-CA"/>
        </w:rPr>
        <w:t xml:space="preserve">vices on acute-care services in </w:t>
      </w:r>
      <w:r w:rsidRPr="00797D59">
        <w:rPr>
          <w:lang w:val="en-CA"/>
        </w:rPr>
        <w:t xml:space="preserve">hospitals across the province; $2.3 </w:t>
      </w:r>
      <w:r>
        <w:rPr>
          <w:lang w:val="en-CA"/>
        </w:rPr>
        <w:t xml:space="preserve">billion is expected to be spent </w:t>
      </w:r>
      <w:r w:rsidRPr="00797D59">
        <w:rPr>
          <w:lang w:val="en-CA"/>
        </w:rPr>
        <w:t>by Alberta Health Services on s</w:t>
      </w:r>
      <w:r>
        <w:rPr>
          <w:lang w:val="en-CA"/>
        </w:rPr>
        <w:t xml:space="preserve">upport services for things like </w:t>
      </w:r>
      <w:r w:rsidRPr="00797D59">
        <w:rPr>
          <w:lang w:val="en-CA"/>
        </w:rPr>
        <w:t>building operations, maintenance, administrat</w:t>
      </w:r>
      <w:r>
        <w:rPr>
          <w:lang w:val="en-CA"/>
        </w:rPr>
        <w:t xml:space="preserve">ion, security, communications, </w:t>
      </w:r>
      <w:r w:rsidRPr="00797D59">
        <w:rPr>
          <w:lang w:val="en-CA"/>
        </w:rPr>
        <w:t>housekeeping,</w:t>
      </w:r>
      <w:r>
        <w:rPr>
          <w:lang w:val="en-CA"/>
        </w:rPr>
        <w:t xml:space="preserve"> food services, and information </w:t>
      </w:r>
      <w:r w:rsidRPr="00797D59">
        <w:rPr>
          <w:lang w:val="en-CA"/>
        </w:rPr>
        <w:t>technology; $1.7 billion is expecte</w:t>
      </w:r>
      <w:r>
        <w:rPr>
          <w:lang w:val="en-CA"/>
        </w:rPr>
        <w:t xml:space="preserve">d to be spent by Alberta Health </w:t>
      </w:r>
      <w:r w:rsidRPr="00797D59">
        <w:rPr>
          <w:lang w:val="en-CA"/>
        </w:rPr>
        <w:t>Services on diagnostic and therapeuti</w:t>
      </w:r>
      <w:r>
        <w:rPr>
          <w:lang w:val="en-CA"/>
        </w:rPr>
        <w:t xml:space="preserve">c services; and $1.1 billion is </w:t>
      </w:r>
      <w:r w:rsidRPr="00797D59">
        <w:rPr>
          <w:lang w:val="en-CA"/>
        </w:rPr>
        <w:t>expected to be spent by Alberta He</w:t>
      </w:r>
      <w:r>
        <w:rPr>
          <w:lang w:val="en-CA"/>
        </w:rPr>
        <w:t xml:space="preserve">alth Services on facility-based </w:t>
      </w:r>
      <w:r w:rsidRPr="00797D59">
        <w:rPr>
          <w:lang w:val="en-CA"/>
        </w:rPr>
        <w:t>and home-based continuing care ser</w:t>
      </w:r>
      <w:r>
        <w:rPr>
          <w:lang w:val="en-CA"/>
        </w:rPr>
        <w:t xml:space="preserve">vices. Finally, $912 million is </w:t>
      </w:r>
      <w:r w:rsidRPr="00797D59">
        <w:rPr>
          <w:lang w:val="en-CA"/>
        </w:rPr>
        <w:t>expected to be spent by Alber</w:t>
      </w:r>
      <w:r>
        <w:rPr>
          <w:lang w:val="en-CA"/>
        </w:rPr>
        <w:t xml:space="preserve">ta Health Services on community </w:t>
      </w:r>
      <w:r w:rsidRPr="00797D59">
        <w:rPr>
          <w:lang w:val="en-CA"/>
        </w:rPr>
        <w:t>and population health services for programs to improve and main</w:t>
      </w:r>
      <w:r>
        <w:rPr>
          <w:lang w:val="en-CA"/>
        </w:rPr>
        <w:t xml:space="preserve">tain </w:t>
      </w:r>
      <w:r w:rsidRPr="00797D59">
        <w:rPr>
          <w:lang w:val="en-CA"/>
        </w:rPr>
        <w:t>Albertans’ health and for disease and injury prevention.</w:t>
      </w:r>
    </w:p>
    <w:p w:rsidR="00797D59" w:rsidRPr="00797D59" w:rsidRDefault="00797D59" w:rsidP="00797D59">
      <w:pPr>
        <w:jc w:val="both"/>
        <w:rPr>
          <w:lang w:val="en-CA"/>
        </w:rPr>
      </w:pPr>
    </w:p>
    <w:p w:rsidR="00797D59" w:rsidRDefault="00797D59" w:rsidP="00797D59">
      <w:pPr>
        <w:jc w:val="both"/>
        <w:rPr>
          <w:lang w:val="en-CA"/>
        </w:rPr>
      </w:pPr>
      <w:r w:rsidRPr="00797D59">
        <w:rPr>
          <w:lang w:val="en-CA"/>
        </w:rPr>
        <w:t>The funding for Alberta Health Serv</w:t>
      </w:r>
      <w:r>
        <w:rPr>
          <w:lang w:val="en-CA"/>
        </w:rPr>
        <w:t xml:space="preserve">ices this year does not include </w:t>
      </w:r>
      <w:r w:rsidRPr="00797D59">
        <w:rPr>
          <w:lang w:val="en-CA"/>
        </w:rPr>
        <w:t>a provision for accumulated def</w:t>
      </w:r>
      <w:r>
        <w:rPr>
          <w:lang w:val="en-CA"/>
        </w:rPr>
        <w:t xml:space="preserve">icit elimination as it did last </w:t>
      </w:r>
      <w:r w:rsidRPr="00797D59">
        <w:rPr>
          <w:lang w:val="en-CA"/>
        </w:rPr>
        <w:t>year, and I must stress that yet again. In fact, Mr. Chair, Alberta</w:t>
      </w:r>
      <w:r>
        <w:rPr>
          <w:lang w:val="en-CA"/>
        </w:rPr>
        <w:t xml:space="preserve"> </w:t>
      </w:r>
      <w:r w:rsidRPr="00797D59">
        <w:rPr>
          <w:lang w:val="en-CA"/>
        </w:rPr>
        <w:t>Health Services will be announcing its detailed budget in the coming</w:t>
      </w:r>
      <w:r>
        <w:rPr>
          <w:lang w:val="en-CA"/>
        </w:rPr>
        <w:t xml:space="preserve"> </w:t>
      </w:r>
      <w:r w:rsidRPr="00797D59">
        <w:rPr>
          <w:lang w:val="en-CA"/>
        </w:rPr>
        <w:lastRenderedPageBreak/>
        <w:t>weeks, presumably after we’v</w:t>
      </w:r>
      <w:r>
        <w:rPr>
          <w:lang w:val="en-CA"/>
        </w:rPr>
        <w:t xml:space="preserve">e hopefully endorsed the budget </w:t>
      </w:r>
      <w:r w:rsidRPr="00797D59">
        <w:rPr>
          <w:lang w:val="en-CA"/>
        </w:rPr>
        <w:t>here today and then the global</w:t>
      </w:r>
      <w:r>
        <w:rPr>
          <w:lang w:val="en-CA"/>
        </w:rPr>
        <w:t xml:space="preserve"> Alberta government budget in a </w:t>
      </w:r>
      <w:r w:rsidRPr="00797D59">
        <w:rPr>
          <w:lang w:val="en-CA"/>
        </w:rPr>
        <w:t>few weeks.</w:t>
      </w:r>
    </w:p>
    <w:p w:rsidR="00797D59" w:rsidRPr="00797D59" w:rsidRDefault="00797D59" w:rsidP="00797D59">
      <w:pPr>
        <w:jc w:val="both"/>
        <w:rPr>
          <w:lang w:val="en-CA"/>
        </w:rPr>
      </w:pPr>
    </w:p>
    <w:p w:rsidR="00797D59" w:rsidRDefault="00797D59" w:rsidP="00797D59">
      <w:pPr>
        <w:jc w:val="both"/>
        <w:rPr>
          <w:lang w:val="en-CA"/>
        </w:rPr>
      </w:pPr>
      <w:r w:rsidRPr="00797D59">
        <w:rPr>
          <w:lang w:val="en-CA"/>
        </w:rPr>
        <w:t>A couple of comments about operating expenses rela</w:t>
      </w:r>
      <w:r>
        <w:rPr>
          <w:lang w:val="en-CA"/>
        </w:rPr>
        <w:t xml:space="preserve">ted to physicians. </w:t>
      </w:r>
      <w:r w:rsidRPr="00797D59">
        <w:rPr>
          <w:lang w:val="en-CA"/>
        </w:rPr>
        <w:t>The second-largest part of o</w:t>
      </w:r>
      <w:r>
        <w:rPr>
          <w:lang w:val="en-CA"/>
        </w:rPr>
        <w:t xml:space="preserve">ur expenses is $3.3 billion. In </w:t>
      </w:r>
      <w:r w:rsidRPr="00797D59">
        <w:rPr>
          <w:lang w:val="en-CA"/>
        </w:rPr>
        <w:t>fact, that is allocated toward physicia</w:t>
      </w:r>
      <w:r>
        <w:rPr>
          <w:lang w:val="en-CA"/>
        </w:rPr>
        <w:t xml:space="preserve">n compensation and development. </w:t>
      </w:r>
      <w:r w:rsidRPr="00797D59">
        <w:rPr>
          <w:lang w:val="en-CA"/>
        </w:rPr>
        <w:t xml:space="preserve">That represents about </w:t>
      </w:r>
      <w:r>
        <w:rPr>
          <w:lang w:val="en-CA"/>
        </w:rPr>
        <w:t xml:space="preserve">22.4 per cent of our department </w:t>
      </w:r>
      <w:r w:rsidRPr="00797D59">
        <w:rPr>
          <w:lang w:val="en-CA"/>
        </w:rPr>
        <w:t>budget, not Alberta Health Services but our departme</w:t>
      </w:r>
      <w:r>
        <w:rPr>
          <w:lang w:val="en-CA"/>
        </w:rPr>
        <w:t xml:space="preserve">nt, which is </w:t>
      </w:r>
      <w:r w:rsidRPr="00797D59">
        <w:rPr>
          <w:lang w:val="en-CA"/>
        </w:rPr>
        <w:t>where this compensation comes from.</w:t>
      </w:r>
      <w:r>
        <w:rPr>
          <w:lang w:val="en-CA"/>
        </w:rPr>
        <w:t xml:space="preserve"> It’s 22.4 per cent. No funding </w:t>
      </w:r>
      <w:r w:rsidRPr="00797D59">
        <w:rPr>
          <w:lang w:val="en-CA"/>
        </w:rPr>
        <w:t>increase for physician com</w:t>
      </w:r>
      <w:r>
        <w:rPr>
          <w:lang w:val="en-CA"/>
        </w:rPr>
        <w:t xml:space="preserve">pensation was allocated in this </w:t>
      </w:r>
      <w:r w:rsidRPr="00797D59">
        <w:rPr>
          <w:lang w:val="en-CA"/>
        </w:rPr>
        <w:t>year’s budget because of ongoin</w:t>
      </w:r>
      <w:r>
        <w:rPr>
          <w:lang w:val="en-CA"/>
        </w:rPr>
        <w:t xml:space="preserve">g negotiations with physicians. </w:t>
      </w:r>
      <w:r w:rsidRPr="00797D59">
        <w:rPr>
          <w:lang w:val="en-CA"/>
        </w:rPr>
        <w:t>I’m pleased that the agreement in principle reflects th</w:t>
      </w:r>
      <w:r>
        <w:rPr>
          <w:lang w:val="en-CA"/>
        </w:rPr>
        <w:t xml:space="preserve">e reality of </w:t>
      </w:r>
      <w:r w:rsidRPr="00797D59">
        <w:rPr>
          <w:lang w:val="en-CA"/>
        </w:rPr>
        <w:t>that circumstance and of our finan</w:t>
      </w:r>
      <w:r>
        <w:rPr>
          <w:lang w:val="en-CA"/>
        </w:rPr>
        <w:t xml:space="preserve">cial situation at the moment. I </w:t>
      </w:r>
      <w:r w:rsidRPr="00797D59">
        <w:rPr>
          <w:lang w:val="en-CA"/>
        </w:rPr>
        <w:t>know that the agreement in princi</w:t>
      </w:r>
      <w:r>
        <w:rPr>
          <w:lang w:val="en-CA"/>
        </w:rPr>
        <w:t xml:space="preserve">ple is in place now, Mr. Chair, </w:t>
      </w:r>
      <w:r w:rsidRPr="00797D59">
        <w:rPr>
          <w:lang w:val="en-CA"/>
        </w:rPr>
        <w:t>and that Alberta Health and Wel</w:t>
      </w:r>
      <w:r>
        <w:rPr>
          <w:lang w:val="en-CA"/>
        </w:rPr>
        <w:t xml:space="preserve">lness along with Alberta Health </w:t>
      </w:r>
      <w:r w:rsidRPr="00797D59">
        <w:rPr>
          <w:lang w:val="en-CA"/>
        </w:rPr>
        <w:t>Services and, of course, the Alberta Medical Asso</w:t>
      </w:r>
      <w:r>
        <w:rPr>
          <w:lang w:val="en-CA"/>
        </w:rPr>
        <w:t xml:space="preserve">ciation are </w:t>
      </w:r>
      <w:r w:rsidRPr="00797D59">
        <w:rPr>
          <w:lang w:val="en-CA"/>
        </w:rPr>
        <w:t>working very diligently towards finali</w:t>
      </w:r>
      <w:r>
        <w:rPr>
          <w:lang w:val="en-CA"/>
        </w:rPr>
        <w:t xml:space="preserve">zing the agreement in principle </w:t>
      </w:r>
      <w:r w:rsidRPr="00797D59">
        <w:rPr>
          <w:lang w:val="en-CA"/>
        </w:rPr>
        <w:t>and having that all tidied aw</w:t>
      </w:r>
      <w:r>
        <w:rPr>
          <w:lang w:val="en-CA"/>
        </w:rPr>
        <w:t xml:space="preserve">ay by June 30 if not sooner. We </w:t>
      </w:r>
      <w:r w:rsidRPr="00797D59">
        <w:rPr>
          <w:lang w:val="en-CA"/>
        </w:rPr>
        <w:t>will review funding needs when a fin</w:t>
      </w:r>
      <w:r>
        <w:rPr>
          <w:lang w:val="en-CA"/>
        </w:rPr>
        <w:t xml:space="preserve">al agreement is reached because </w:t>
      </w:r>
      <w:r w:rsidRPr="00797D59">
        <w:rPr>
          <w:lang w:val="en-CA"/>
        </w:rPr>
        <w:t>there are a number of relat</w:t>
      </w:r>
      <w:r>
        <w:rPr>
          <w:lang w:val="en-CA"/>
        </w:rPr>
        <w:t xml:space="preserve">ed issues there that pertain to </w:t>
      </w:r>
      <w:r w:rsidRPr="00797D59">
        <w:rPr>
          <w:lang w:val="en-CA"/>
        </w:rPr>
        <w:t>programs and benefits.</w:t>
      </w:r>
    </w:p>
    <w:p w:rsidR="00797D59" w:rsidRPr="00797D59" w:rsidRDefault="00797D59" w:rsidP="00797D59">
      <w:pPr>
        <w:jc w:val="both"/>
        <w:rPr>
          <w:lang w:val="en-CA"/>
        </w:rPr>
      </w:pPr>
    </w:p>
    <w:p w:rsidR="00797D59" w:rsidRDefault="00797D59" w:rsidP="00797D59">
      <w:pPr>
        <w:jc w:val="both"/>
        <w:rPr>
          <w:lang w:val="en-CA"/>
        </w:rPr>
      </w:pPr>
      <w:r w:rsidRPr="00797D59">
        <w:rPr>
          <w:lang w:val="en-CA"/>
        </w:rPr>
        <w:t>Within the $3.3 billion for physici</w:t>
      </w:r>
      <w:r>
        <w:rPr>
          <w:lang w:val="en-CA"/>
        </w:rPr>
        <w:t xml:space="preserve">an compensation and development </w:t>
      </w:r>
      <w:r w:rsidRPr="00797D59">
        <w:rPr>
          <w:lang w:val="en-CA"/>
        </w:rPr>
        <w:t>are several increases tha</w:t>
      </w:r>
      <w:r>
        <w:rPr>
          <w:lang w:val="en-CA"/>
        </w:rPr>
        <w:t xml:space="preserve">t are outside of the trilateral </w:t>
      </w:r>
      <w:r w:rsidRPr="00797D59">
        <w:rPr>
          <w:lang w:val="en-CA"/>
        </w:rPr>
        <w:t>master agreement between government, Alberta Healt</w:t>
      </w:r>
      <w:r>
        <w:rPr>
          <w:lang w:val="en-CA"/>
        </w:rPr>
        <w:t xml:space="preserve">h Services, </w:t>
      </w:r>
      <w:r w:rsidRPr="00797D59">
        <w:rPr>
          <w:lang w:val="en-CA"/>
        </w:rPr>
        <w:t>and the AMA. For example, there ar</w:t>
      </w:r>
      <w:r>
        <w:rPr>
          <w:lang w:val="en-CA"/>
        </w:rPr>
        <w:t xml:space="preserve">e increases of about $5 million </w:t>
      </w:r>
      <w:r w:rsidRPr="00797D59">
        <w:rPr>
          <w:lang w:val="en-CA"/>
        </w:rPr>
        <w:t xml:space="preserve">for the academic alternate </w:t>
      </w:r>
      <w:r>
        <w:rPr>
          <w:lang w:val="en-CA"/>
        </w:rPr>
        <w:t xml:space="preserve">relationship plans that provide </w:t>
      </w:r>
      <w:r w:rsidRPr="00797D59">
        <w:rPr>
          <w:lang w:val="en-CA"/>
        </w:rPr>
        <w:t>compensation for physicians who a</w:t>
      </w:r>
      <w:r>
        <w:rPr>
          <w:lang w:val="en-CA"/>
        </w:rPr>
        <w:t xml:space="preserve">re in a teaching role. There is </w:t>
      </w:r>
      <w:r w:rsidRPr="00797D59">
        <w:rPr>
          <w:lang w:val="en-CA"/>
        </w:rPr>
        <w:t>also an increase of $11 million for medical resident a</w:t>
      </w:r>
      <w:r>
        <w:rPr>
          <w:lang w:val="en-CA"/>
        </w:rPr>
        <w:t xml:space="preserve">llowances to </w:t>
      </w:r>
      <w:r w:rsidRPr="00797D59">
        <w:rPr>
          <w:lang w:val="en-CA"/>
        </w:rPr>
        <w:t>provide compensation for medic</w:t>
      </w:r>
      <w:r>
        <w:rPr>
          <w:lang w:val="en-CA"/>
        </w:rPr>
        <w:t xml:space="preserve">al students who are doing their </w:t>
      </w:r>
      <w:r w:rsidRPr="00797D59">
        <w:rPr>
          <w:lang w:val="en-CA"/>
        </w:rPr>
        <w:t>residencies, and a $4 million inc</w:t>
      </w:r>
      <w:r>
        <w:rPr>
          <w:lang w:val="en-CA"/>
        </w:rPr>
        <w:t xml:space="preserve">rease for clinical training and </w:t>
      </w:r>
      <w:r w:rsidRPr="00797D59">
        <w:rPr>
          <w:lang w:val="en-CA"/>
        </w:rPr>
        <w:t>assessment support specifically for</w:t>
      </w:r>
      <w:r>
        <w:rPr>
          <w:lang w:val="en-CA"/>
        </w:rPr>
        <w:t xml:space="preserve"> postgraduate medical education </w:t>
      </w:r>
      <w:r w:rsidRPr="00797D59">
        <w:rPr>
          <w:lang w:val="en-CA"/>
        </w:rPr>
        <w:t>offices. Those offices co-ordinate over 20 depart</w:t>
      </w:r>
      <w:r>
        <w:rPr>
          <w:lang w:val="en-CA"/>
        </w:rPr>
        <w:t xml:space="preserve">ments of </w:t>
      </w:r>
      <w:r w:rsidRPr="00797D59">
        <w:rPr>
          <w:lang w:val="en-CA"/>
        </w:rPr>
        <w:t>medicine, Mr. Chair, over 50 r</w:t>
      </w:r>
      <w:r>
        <w:rPr>
          <w:lang w:val="en-CA"/>
        </w:rPr>
        <w:t xml:space="preserve">esidency programs at the U of A </w:t>
      </w:r>
      <w:r w:rsidRPr="00797D59">
        <w:rPr>
          <w:lang w:val="en-CA"/>
        </w:rPr>
        <w:t>and at the U of C, and a total of a</w:t>
      </w:r>
      <w:r>
        <w:rPr>
          <w:lang w:val="en-CA"/>
        </w:rPr>
        <w:t xml:space="preserve">bout 1,620 medical residents in </w:t>
      </w:r>
      <w:r w:rsidRPr="00797D59">
        <w:rPr>
          <w:lang w:val="en-CA"/>
        </w:rPr>
        <w:t>Alberta. The increase will go toward t</w:t>
      </w:r>
      <w:r>
        <w:rPr>
          <w:lang w:val="en-CA"/>
        </w:rPr>
        <w:t xml:space="preserve">he expansion needs of residency </w:t>
      </w:r>
      <w:r w:rsidRPr="00797D59">
        <w:rPr>
          <w:lang w:val="en-CA"/>
        </w:rPr>
        <w:t xml:space="preserve">programs to accommodate an increasing number of </w:t>
      </w:r>
      <w:r>
        <w:rPr>
          <w:lang w:val="en-CA"/>
        </w:rPr>
        <w:t xml:space="preserve">Alberta </w:t>
      </w:r>
      <w:r w:rsidRPr="00797D59">
        <w:rPr>
          <w:lang w:val="en-CA"/>
        </w:rPr>
        <w:t>medical graduates.</w:t>
      </w:r>
    </w:p>
    <w:p w:rsidR="00797D59" w:rsidRPr="00797D59" w:rsidRDefault="00797D59" w:rsidP="00797D59">
      <w:pPr>
        <w:jc w:val="both"/>
        <w:rPr>
          <w:lang w:val="en-CA"/>
        </w:rPr>
      </w:pPr>
    </w:p>
    <w:p w:rsidR="00797D59" w:rsidRDefault="00797D59" w:rsidP="00797D59">
      <w:pPr>
        <w:jc w:val="both"/>
        <w:rPr>
          <w:lang w:val="en-CA"/>
        </w:rPr>
      </w:pPr>
      <w:r w:rsidRPr="00797D59">
        <w:rPr>
          <w:lang w:val="en-CA"/>
        </w:rPr>
        <w:t xml:space="preserve">The third-largest area of our </w:t>
      </w:r>
      <w:r>
        <w:rPr>
          <w:lang w:val="en-CA"/>
        </w:rPr>
        <w:t xml:space="preserve">expense is $1 billion allocated </w:t>
      </w:r>
      <w:r w:rsidRPr="00797D59">
        <w:rPr>
          <w:lang w:val="en-CA"/>
        </w:rPr>
        <w:t>toward drugs and supplemental</w:t>
      </w:r>
      <w:r>
        <w:rPr>
          <w:lang w:val="en-CA"/>
        </w:rPr>
        <w:t xml:space="preserve"> health benefits for Albertans. </w:t>
      </w:r>
      <w:r w:rsidRPr="00797D59">
        <w:rPr>
          <w:lang w:val="en-CA"/>
        </w:rPr>
        <w:t>There is an increase here of about $8</w:t>
      </w:r>
      <w:r>
        <w:rPr>
          <w:lang w:val="en-CA"/>
        </w:rPr>
        <w:t xml:space="preserve">4 million, or 8.8 per cent, for </w:t>
      </w:r>
      <w:r w:rsidRPr="00797D59">
        <w:rPr>
          <w:lang w:val="en-CA"/>
        </w:rPr>
        <w:t>drugs and supplemental health benefit</w:t>
      </w:r>
      <w:r>
        <w:rPr>
          <w:lang w:val="en-CA"/>
        </w:rPr>
        <w:t xml:space="preserve">s for Albertans this year </w:t>
      </w:r>
      <w:r w:rsidRPr="00797D59">
        <w:rPr>
          <w:lang w:val="en-CA"/>
        </w:rPr>
        <w:t>alone. The increase is primarily due t</w:t>
      </w:r>
      <w:r>
        <w:rPr>
          <w:lang w:val="en-CA"/>
        </w:rPr>
        <w:t xml:space="preserve">o volume growth in prescription </w:t>
      </w:r>
      <w:r w:rsidRPr="00797D59">
        <w:rPr>
          <w:lang w:val="en-CA"/>
        </w:rPr>
        <w:t>drugs for seniors. That’s about</w:t>
      </w:r>
      <w:r>
        <w:rPr>
          <w:lang w:val="en-CA"/>
        </w:rPr>
        <w:t xml:space="preserve"> $46 million. Higher prices and </w:t>
      </w:r>
      <w:r w:rsidRPr="00797D59">
        <w:rPr>
          <w:lang w:val="en-CA"/>
        </w:rPr>
        <w:t>patient utilization of nongroup dru</w:t>
      </w:r>
      <w:r>
        <w:rPr>
          <w:lang w:val="en-CA"/>
        </w:rPr>
        <w:t xml:space="preserve">g benefits is about $16 million </w:t>
      </w:r>
      <w:r w:rsidRPr="00797D59">
        <w:rPr>
          <w:lang w:val="en-CA"/>
        </w:rPr>
        <w:t>for Albertans who are not part</w:t>
      </w:r>
      <w:r>
        <w:rPr>
          <w:lang w:val="en-CA"/>
        </w:rPr>
        <w:t xml:space="preserve"> of a group drug plan. Volume </w:t>
      </w:r>
      <w:r w:rsidRPr="00797D59">
        <w:rPr>
          <w:lang w:val="en-CA"/>
        </w:rPr>
        <w:t>growth and price for outpatient ca</w:t>
      </w:r>
      <w:r>
        <w:rPr>
          <w:lang w:val="en-CA"/>
        </w:rPr>
        <w:t xml:space="preserve">ncer therapy drugs administered </w:t>
      </w:r>
      <w:r w:rsidRPr="00797D59">
        <w:rPr>
          <w:lang w:val="en-CA"/>
        </w:rPr>
        <w:t>on an outpatient basis is abou</w:t>
      </w:r>
      <w:r>
        <w:rPr>
          <w:lang w:val="en-CA"/>
        </w:rPr>
        <w:t xml:space="preserve">t $9 million. Volume growth and </w:t>
      </w:r>
      <w:r w:rsidRPr="00797D59">
        <w:rPr>
          <w:lang w:val="en-CA"/>
        </w:rPr>
        <w:t>price for outpatient specialized hi</w:t>
      </w:r>
      <w:r>
        <w:rPr>
          <w:lang w:val="en-CA"/>
        </w:rPr>
        <w:t xml:space="preserve">gh-cost drugs is an increase of </w:t>
      </w:r>
      <w:r w:rsidRPr="00797D59">
        <w:rPr>
          <w:lang w:val="en-CA"/>
        </w:rPr>
        <w:t>about $7 million.</w:t>
      </w:r>
    </w:p>
    <w:p w:rsidR="00797D59" w:rsidRPr="00797D59" w:rsidRDefault="00797D59" w:rsidP="00797D59">
      <w:pPr>
        <w:jc w:val="both"/>
        <w:rPr>
          <w:lang w:val="en-CA"/>
        </w:rPr>
      </w:pPr>
    </w:p>
    <w:p w:rsidR="00797D59" w:rsidRPr="00797D59" w:rsidRDefault="00797D59" w:rsidP="00797D59">
      <w:pPr>
        <w:jc w:val="both"/>
        <w:rPr>
          <w:lang w:val="en-CA"/>
        </w:rPr>
      </w:pPr>
      <w:r w:rsidRPr="00797D59">
        <w:rPr>
          <w:lang w:val="en-CA"/>
        </w:rPr>
        <w:t>With respect to other health servi</w:t>
      </w:r>
      <w:r>
        <w:rPr>
          <w:lang w:val="en-CA"/>
        </w:rPr>
        <w:t xml:space="preserve">ces there is about $800 million </w:t>
      </w:r>
      <w:r w:rsidRPr="00797D59">
        <w:rPr>
          <w:lang w:val="en-CA"/>
        </w:rPr>
        <w:t>allocated for other health service</w:t>
      </w:r>
      <w:r>
        <w:rPr>
          <w:lang w:val="en-CA"/>
        </w:rPr>
        <w:t xml:space="preserve">s. I’ll just break down some of </w:t>
      </w:r>
      <w:r w:rsidRPr="00797D59">
        <w:rPr>
          <w:lang w:val="en-CA"/>
        </w:rPr>
        <w:t>that in the couple of minutes I have le</w:t>
      </w:r>
      <w:r>
        <w:rPr>
          <w:lang w:val="en-CA"/>
        </w:rPr>
        <w:t xml:space="preserve">ft. Fifty-eight million dollars </w:t>
      </w:r>
      <w:r w:rsidRPr="00797D59">
        <w:rPr>
          <w:lang w:val="en-CA"/>
        </w:rPr>
        <w:t>is budgeted for my ministry support services. This go</w:t>
      </w:r>
      <w:r>
        <w:rPr>
          <w:lang w:val="en-CA"/>
        </w:rPr>
        <w:t xml:space="preserve">es toward the </w:t>
      </w:r>
      <w:r w:rsidRPr="00797D59">
        <w:rPr>
          <w:lang w:val="en-CA"/>
        </w:rPr>
        <w:t>operations of my office.</w:t>
      </w:r>
    </w:p>
    <w:p w:rsidR="00797D59" w:rsidRDefault="00797D59" w:rsidP="00797D59">
      <w:pPr>
        <w:jc w:val="both"/>
        <w:rPr>
          <w:lang w:val="en-CA"/>
        </w:rPr>
      </w:pPr>
    </w:p>
    <w:p w:rsidR="00797D59" w:rsidRPr="00797D59" w:rsidRDefault="00797D59" w:rsidP="00797D59">
      <w:pPr>
        <w:jc w:val="both"/>
        <w:rPr>
          <w:sz w:val="20"/>
          <w:szCs w:val="20"/>
        </w:rPr>
      </w:pPr>
      <w:r w:rsidRPr="00797D59">
        <w:rPr>
          <w:sz w:val="20"/>
          <w:szCs w:val="20"/>
        </w:rPr>
        <w:t>[Fin du temps accordé pour les remarques préliminaires]</w:t>
      </w:r>
    </w:p>
    <w:sectPr w:rsidR="00797D59" w:rsidRPr="00797D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59"/>
    <w:rsid w:val="001501F1"/>
    <w:rsid w:val="00471565"/>
    <w:rsid w:val="0079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1480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Gabrielle</cp:lastModifiedBy>
  <cp:revision>1</cp:revision>
  <dcterms:created xsi:type="dcterms:W3CDTF">2012-08-05T01:39:00Z</dcterms:created>
  <dcterms:modified xsi:type="dcterms:W3CDTF">2012-08-05T01:51:00Z</dcterms:modified>
</cp:coreProperties>
</file>