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1384"/>
        <w:gridCol w:w="1108"/>
        <w:gridCol w:w="1193"/>
        <w:gridCol w:w="1553"/>
        <w:gridCol w:w="988"/>
      </w:tblGrid>
      <w:tr w:rsidR="00980446" w:rsidRPr="00980446" w:rsidTr="000D5DFA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980446" w:rsidRPr="00980446" w:rsidTr="000D5DFA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27</w:t>
            </w: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</w:t>
            </w: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re</w:t>
            </w: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  </w:t>
            </w:r>
          </w:p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Remarques préliminaires à l'étude des crédits 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13 mai 2008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M. </w:t>
            </w: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Ron </w:t>
            </w:r>
            <w:proofErr w:type="spellStart"/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Liepert</w:t>
            </w:r>
            <w:proofErr w:type="spellEnd"/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980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fr-CA"/>
              </w:rPr>
              <w:t>Ministre de la Santé et du Bien-être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446" w:rsidRPr="00980446" w:rsidRDefault="00980446" w:rsidP="009804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9804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980446" w:rsidRPr="00980446" w:rsidRDefault="00980446" w:rsidP="00980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Mr. </w:t>
      </w:r>
      <w:proofErr w:type="spellStart"/>
      <w:r w:rsidRPr="00980446">
        <w:rPr>
          <w:rFonts w:ascii="Times New Roman" w:hAnsi="Times New Roman" w:cs="Times New Roman"/>
          <w:b/>
          <w:bCs/>
          <w:sz w:val="24"/>
          <w:szCs w:val="24"/>
          <w:lang w:val="en-CA"/>
        </w:rPr>
        <w:t>Liepert</w:t>
      </w:r>
      <w:proofErr w:type="spellEnd"/>
      <w:r w:rsidRPr="00980446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: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Well, thank you,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r. Chair, and my pleasure to be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presenting the estimates for the 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partment of Health and Wellness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tonight. I should make all member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aware at the outset that I am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currently a product of the health sy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stem because I have been having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this back situation, so if I don’t get up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quite as quickly and if I have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to lean on the table as I speak, it’s 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because I’m inattentive; it’s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because sitting is rather agonizing these days.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Before we begin, I would like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introduce officials that are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accompanying me here tonight.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We have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CA"/>
        </w:rPr>
        <w:t xml:space="preserve">Paddy Meade, our deputy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minister, to my right. Martin Chamber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lain is acting assistant deputy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minister of corporate operatio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ns, and Charlene Wong is acting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executive director of finance and adm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inistration. It should be noted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that after the election when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new cabinet was appointed, the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deputy minister of Executive Counc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il chose to find two new deputy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ministers out of our executive 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am. That’s why we have a couple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of acting assistant deputies at this time,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but I think it speaks well for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the talent that exists in our department.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Our work in the year ahead will be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guided, as all departments are,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by the mandate given by our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emier. In my mandate letter the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primary responsibilities of our depar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tment are to increase access to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the health system and improve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efficiency and effectiveness of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service delivery, and what I’ve sai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since the appointment is that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everything we do will be built around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pillars of accessibility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sustainability and around patient care.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We introduced a health action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plan about a month ago now,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that plan outlined a wide range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initiatives that we intend to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accomplish and achieve over a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ree-, six-, and nine-month time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frame. The reason those wer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chosen is that there are some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initiatives that can happen rather qui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ckly, there are others that are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going to take longer to accomplish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and others that will probably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actually lead into budget ’09-10 and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legislative session of a year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from now. Together these initiativ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 will help us create a health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system that better meets the needs of Albertans.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An example of one of the initiatives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hat we’ll be taking immediately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will be the introduction of a pati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ent navigator to help Albertans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quickly and easily access programs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services that are required.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We also intend to continue to ex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pand the role of pharmacists to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include preventing and managing chronic diseases. Through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hese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and other steps we hope to build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system that is focused on the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patient and not on the system, a sy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stem, as I said earlier, that’s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accessible, efficient, and sustainable.</w:t>
      </w: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In addition to work stemming from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ministry’s mandate, Health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and Wellness will continue its efforts in a number of critical areas.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Addressing workforce shortages,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lastRenderedPageBreak/>
        <w:t>imp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roving infection prevention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control, and increasing access to lo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ng-term care are a few examples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of the ongoing and important work of our department.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The 2008-2009 budget provides for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our immediate and future-focused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efforts as well as ongoing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work. This year the ministry’s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budget increased by $1.1 billion.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That’s an incredible amount of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money when you think that probabl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in our estimates in Committee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of Supply in this session a lot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our departments don’t even come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close to $1.1 billion in total expendi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tures let alone the increase in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one year. It’s a 9.1 per cent increas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and brings health spending in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this province to $13.2 billion.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Out of that $13.2 billion health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authorities receive the largest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proportion, about 54 per cent. This yea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authorities will receive $7.1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billion, or an increase of $524 mill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ion. The increases range from 6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per cent to 8.7 per cent for our two larg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est health authorities, and I’d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like to emphasize that every heal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 authority in the province is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receiving at least a funding increase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6 per cent. Each authority is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being provided with more dollars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coming year, hopefully with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the sufficient funding to address inflation and population growth.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Government’s funding allocation is des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igned to be fair and equitable.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To achieve this objective, a 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umber of factors are considered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when determining each region’s funding, factors like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number of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elderly in the area.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It’s true that Capital health rece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ived $110 million more than the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Calgary health region this year. I’d lik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to explain that just a little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bit. Capital health serves a much lar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ger population from outside its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regional boundaries than does Calgar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y. It is estimated that Capital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health’s net cost for providing services to non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-residents in the current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year will be $162 million more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than Calgary. In addition, the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Capital region has a larger populatio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of seniors and disadvantaged,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all of whom tend to have greater health care needs.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Each region’s needs are considered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a similar way to ensure that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government provided appropriate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funding. In turn we expect the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regions to work within their fu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nding allocations and undertake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initiatives that will reduce their cost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and improve productivity. I’d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also like to note that funding to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authorities has increased every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year since 1999-2000, and it has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more than doubled in that time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period.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There is no provision in this budget for health authority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deficits.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Audited financial statements are due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by June 30. At that time we’ll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know if an authority has a deficit posit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ion. If that’s the case, health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authorities are required by legislation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submit a three-year deficit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elimination plan.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I’d like to move on briefly to ph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ysician services. This accounts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for the second-largest portion of our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budget, at 19 per cent. In ’08-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09 two and a half billion dollars is 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udgeted for physician services.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As most members are aware, we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 currently in the negotiation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stage under the eight-year trilat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eral agreement. The dollars are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renegotiated and expired at the 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of March, and we’re currently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into that right now. This budget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lso includes an increase of $20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million for salaries and benefits for medical residents, fu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nding for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the Alberta international medical gr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aduate program, and funding for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the postgraduate medical education program. We’ll continue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work with other ministries through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health workforce action plan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to address our province’s shortage of physicians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other health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professionals.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Infrastructure is another major comp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onent of the budget, accounting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for more than 9 per cent. This ye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 $1.2 billion is provided for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new and previously approved capit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 projects. This includes $109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million for capital maintenance and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enewal costs. I don’t have time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to detail some of the major projec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ts, but they include the cancer corridor in Lethbridge,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Red Deer,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Grande Prairie; 600 new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200 replacement long-term care beds;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also significant dollars in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the Northern Lights region under the </w:t>
      </w:r>
      <w:proofErr w:type="spellStart"/>
      <w:r w:rsidRPr="00980446">
        <w:rPr>
          <w:rFonts w:ascii="Times New Roman" w:hAnsi="Times New Roman" w:cs="Times New Roman"/>
          <w:sz w:val="24"/>
          <w:szCs w:val="24"/>
          <w:lang w:val="en-CA"/>
        </w:rPr>
        <w:t>Radke</w:t>
      </w:r>
      <w:proofErr w:type="spellEnd"/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 report.</w:t>
      </w: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We also in this budget have $749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illion for supplementary health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benefits. This includes everything fr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om prescription drugs to ground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ambulance services and other benefits such as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osthetics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orthotics.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It should be noted that in the past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25 years total drug spending in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Alberta has increased three times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faster than either physician or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hospital spending and six times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faster than Alberta government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revenue. We will be introducing a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pharmaceutical strategy as part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of our three- to six-month plan.</w:t>
      </w: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We’ve got a number of initiative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on protection, promotion,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prevention, and I’d be happy to disc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uss those during the estimates.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I won’t go into a lot of the other 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umbers. We can talk about those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as we proceed through the evening.</w:t>
      </w: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I guess I’d just like to conclude by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saying that I expect this to be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a busy year for Health and Welln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ess. We’ve promised action, and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our business plans reflect meeting that action.</w:t>
      </w:r>
    </w:p>
    <w:p w:rsid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80446" w:rsidRPr="00980446" w:rsidRDefault="00980446" w:rsidP="009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80446">
        <w:rPr>
          <w:rFonts w:ascii="Times New Roman" w:hAnsi="Times New Roman" w:cs="Times New Roman"/>
          <w:sz w:val="24"/>
          <w:szCs w:val="24"/>
          <w:lang w:val="en-CA"/>
        </w:rPr>
        <w:t>I do want to conclude by saying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 this portfolio is incredibly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complex. I’ve had a short period of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ime to grasp as much of it as I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possibly can. I want to ensure, 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owever, that members’ questions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are answered thoroughly. If I’m not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able to answer them tonight, we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will provide written answers to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ny member’s questions within, I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 xml:space="preserve">would say, the next two weeks.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With that, Mr. Chairman, I’d be </w:t>
      </w:r>
      <w:r w:rsidRPr="00980446">
        <w:rPr>
          <w:rFonts w:ascii="Times New Roman" w:hAnsi="Times New Roman" w:cs="Times New Roman"/>
          <w:sz w:val="24"/>
          <w:szCs w:val="24"/>
          <w:lang w:val="en-CA"/>
        </w:rPr>
        <w:t>happy to hear comments and take questions.</w:t>
      </w:r>
    </w:p>
    <w:sectPr w:rsidR="00980446" w:rsidRPr="009804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46"/>
    <w:rsid w:val="00172878"/>
    <w:rsid w:val="00980446"/>
    <w:rsid w:val="00B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2012-07-31T19:54:00Z</dcterms:created>
  <dcterms:modified xsi:type="dcterms:W3CDTF">2012-07-31T20:07:00Z</dcterms:modified>
</cp:coreProperties>
</file>