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08"/>
        <w:gridCol w:w="851"/>
        <w:gridCol w:w="1134"/>
        <w:gridCol w:w="850"/>
        <w:gridCol w:w="1276"/>
        <w:gridCol w:w="1418"/>
        <w:gridCol w:w="1135"/>
      </w:tblGrid>
      <w:tr w:rsidR="007E73D7" w:rsidRPr="00C076AB" w14:paraId="38DBD5B1" w14:textId="77777777" w:rsidTr="007E4105">
        <w:tc>
          <w:tcPr>
            <w:tcW w:w="1444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1C375DAE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P80_4617"/>
            <w:bookmarkStart w:id="1" w:name="P80_4447"/>
            <w:bookmarkEnd w:id="0"/>
            <w:bookmarkEnd w:id="1"/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3118D38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3635FE2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6621FF8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12FC7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A42D876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176E162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135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28B1677C" w14:textId="77777777" w:rsidR="007E73D7" w:rsidRPr="00C076AB" w:rsidRDefault="007E73D7" w:rsidP="007E4105">
            <w:pPr>
              <w:spacing w:after="100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7E73D7" w:rsidRPr="00C076AB" w14:paraId="3333C254" w14:textId="77777777" w:rsidTr="007E4105">
        <w:tc>
          <w:tcPr>
            <w:tcW w:w="144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1B261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proofErr w:type="spellStart"/>
            <w:r>
              <w:rPr>
                <w:bCs/>
                <w:sz w:val="20"/>
                <w:szCs w:val="20"/>
                <w:lang w:eastAsia="fr-CA"/>
              </w:rPr>
              <w:t>Sasketchawan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450D3B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25</w:t>
            </w:r>
            <w:r w:rsidRPr="00C076A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1949AE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</w:t>
            </w:r>
            <w:r w:rsidRPr="00C076A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C076AB">
              <w:rPr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2C695D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sur l’éducation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D2BD65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25 Avril 2006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B8B6C5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 xml:space="preserve">Debra </w:t>
            </w:r>
            <w:proofErr w:type="spellStart"/>
            <w:r>
              <w:rPr>
                <w:bCs/>
                <w:sz w:val="20"/>
                <w:szCs w:val="20"/>
                <w:lang w:eastAsia="fr-CA"/>
              </w:rPr>
              <w:t>Elaine</w:t>
            </w:r>
            <w:proofErr w:type="spellEnd"/>
            <w:r>
              <w:rPr>
                <w:bCs/>
                <w:sz w:val="20"/>
                <w:szCs w:val="20"/>
                <w:lang w:eastAsia="fr-CA"/>
              </w:rPr>
              <w:t xml:space="preserve"> Higgins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D485D56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Ministre de l’éducation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187CF" w14:textId="77777777" w:rsidR="007E73D7" w:rsidRPr="00C076AB" w:rsidRDefault="007E73D7" w:rsidP="007E4105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NPD</w:t>
            </w:r>
          </w:p>
        </w:tc>
      </w:tr>
    </w:tbl>
    <w:p w14:paraId="63B2D7D8" w14:textId="77777777" w:rsidR="007E73D7" w:rsidRDefault="007E73D7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5F0F76AC" w14:textId="77777777" w:rsidR="007E73D7" w:rsidRDefault="007E73D7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b/>
          <w:sz w:val="24"/>
          <w:szCs w:val="24"/>
          <w:lang w:val="en-CA"/>
        </w:rPr>
        <w:t xml:space="preserve">Saskatchewan: Education Speech, Third session of the twenty-fifth legislature, </w:t>
      </w:r>
      <w:r w:rsidR="00F17A54" w:rsidRPr="007E73D7">
        <w:rPr>
          <w:rFonts w:ascii="Times New Roman" w:hAnsi="Times New Roman" w:cs="Times New Roman"/>
          <w:b/>
          <w:sz w:val="24"/>
          <w:szCs w:val="24"/>
          <w:lang w:val="en-CA"/>
        </w:rPr>
        <w:t>April 25, 2006</w:t>
      </w:r>
    </w:p>
    <w:p w14:paraId="6F489254" w14:textId="77777777" w:rsidR="007E73D7" w:rsidRPr="007E73D7" w:rsidRDefault="007E73D7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4E22854B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Thank you very much, Madam Chair. To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my right is Wynne Young, deputy minister of Learning. To my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left is Larry </w:t>
      </w:r>
      <w:proofErr w:type="spellStart"/>
      <w:r w:rsidRPr="007E73D7">
        <w:rPr>
          <w:rFonts w:ascii="Times New Roman" w:hAnsi="Times New Roman" w:cs="Times New Roman"/>
          <w:sz w:val="24"/>
          <w:szCs w:val="24"/>
          <w:lang w:val="en-CA"/>
        </w:rPr>
        <w:t>Steeves</w:t>
      </w:r>
      <w:proofErr w:type="spellEnd"/>
      <w:r w:rsidRPr="007E73D7">
        <w:rPr>
          <w:rFonts w:ascii="Times New Roman" w:hAnsi="Times New Roman" w:cs="Times New Roman"/>
          <w:sz w:val="24"/>
          <w:szCs w:val="24"/>
          <w:lang w:val="en-CA"/>
        </w:rPr>
        <w:t>, associate deputy minister. Sitting directly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behind Wynne is Karen Allen, executive director of corporate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services. Directly behind myself is Gillian McCreary, assistant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deputy minister. And to Gillian’s left </w:t>
      </w:r>
      <w:proofErr w:type="gramStart"/>
      <w:r w:rsidRPr="007E73D7">
        <w:rPr>
          <w:rFonts w:ascii="Times New Roman" w:hAnsi="Times New Roman" w:cs="Times New Roman"/>
          <w:sz w:val="24"/>
          <w:szCs w:val="24"/>
          <w:lang w:val="en-CA"/>
        </w:rPr>
        <w:t>is</w:t>
      </w:r>
      <w:proofErr w:type="gram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Naomi Mellor,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executive director, education finance and legislative services.</w:t>
      </w:r>
    </w:p>
    <w:p w14:paraId="1D6073ED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And also sitting to the left of Naomi is Nelson Wagner,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executive director of facilities. And directly behind Gillian is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April Barry, executive director, early learning and child ca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>re</w:t>
      </w:r>
    </w:p>
    <w:p w14:paraId="184C113C" w14:textId="77777777" w:rsidR="007E73D7" w:rsidRDefault="007E73D7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93DDEDF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Thank you very much, Madam Chair.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First off, I guess, to talk about the restructuring and what has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happened over the last couple of years and to give people a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general overview of where we are.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After the </w:t>
      </w:r>
      <w:proofErr w:type="spellStart"/>
      <w:r w:rsidRPr="007E73D7">
        <w:rPr>
          <w:rFonts w:ascii="Times New Roman" w:hAnsi="Times New Roman" w:cs="Times New Roman"/>
          <w:sz w:val="24"/>
          <w:szCs w:val="24"/>
          <w:lang w:val="en-CA"/>
        </w:rPr>
        <w:t>Boughen</w:t>
      </w:r>
      <w:proofErr w:type="spell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Commission report was released,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E73D7">
        <w:rPr>
          <w:rFonts w:ascii="Times New Roman" w:hAnsi="Times New Roman" w:cs="Times New Roman"/>
          <w:sz w:val="24"/>
          <w:szCs w:val="24"/>
          <w:lang w:val="en-CA"/>
        </w:rPr>
        <w:t>Boughen</w:t>
      </w:r>
      <w:proofErr w:type="spell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Commission in 2003 . . . I think it was May of ’04 we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began to move into the period of restructuring. And there was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really three points that come out of the </w:t>
      </w:r>
      <w:proofErr w:type="spellStart"/>
      <w:r w:rsidRPr="007E73D7">
        <w:rPr>
          <w:rFonts w:ascii="Times New Roman" w:hAnsi="Times New Roman" w:cs="Times New Roman"/>
          <w:sz w:val="24"/>
          <w:szCs w:val="24"/>
          <w:lang w:val="en-CA"/>
        </w:rPr>
        <w:t>Boughen</w:t>
      </w:r>
      <w:proofErr w:type="spell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and were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announced by the minister after that.</w:t>
      </w:r>
    </w:p>
    <w:p w14:paraId="159BF412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The first and foremost was a restructuring to move to larger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divisions, to go to regional pooling of resources and address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many of the issues that were there. The next point was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redesign of the </w:t>
      </w:r>
      <w:proofErr w:type="gramStart"/>
      <w:r w:rsidRPr="007E73D7">
        <w:rPr>
          <w:rFonts w:ascii="Times New Roman" w:hAnsi="Times New Roman" w:cs="Times New Roman"/>
          <w:sz w:val="24"/>
          <w:szCs w:val="24"/>
          <w:lang w:val="en-CA"/>
        </w:rPr>
        <w:t>foundation operating</w:t>
      </w:r>
      <w:proofErr w:type="gram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grant. There’s been a fair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bit of work that’s been done on that, and I would say we’re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about halfway through the factors so far.</w:t>
      </w:r>
    </w:p>
    <w:p w14:paraId="1AEF0EF6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The new changes have been put in place this year. There </w:t>
      </w:r>
      <w:proofErr w:type="gramStart"/>
      <w:r w:rsidRPr="007E73D7">
        <w:rPr>
          <w:rFonts w:ascii="Times New Roman" w:hAnsi="Times New Roman" w:cs="Times New Roman"/>
          <w:sz w:val="24"/>
          <w:szCs w:val="24"/>
          <w:lang w:val="en-CA"/>
        </w:rPr>
        <w:t>is</w:t>
      </w:r>
      <w:proofErr w:type="gram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still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 number of factors that need to be reviewed and work done on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that, and we’re looking at it being done in two stages. So first</w:t>
      </w:r>
    </w:p>
    <w:p w14:paraId="601DC496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E73D7">
        <w:rPr>
          <w:rFonts w:ascii="Times New Roman" w:hAnsi="Times New Roman" w:cs="Times New Roman"/>
          <w:sz w:val="24"/>
          <w:szCs w:val="24"/>
          <w:lang w:val="en-CA"/>
        </w:rPr>
        <w:t>stage</w:t>
      </w:r>
      <w:proofErr w:type="gram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implemented this year with the ’06-07 budget and next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stage looking at the next budget year. Also to the issue of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education property tax and equalization which looks at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bigger picture of funding for education and the commitment of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this government and our Premier to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lastRenderedPageBreak/>
        <w:t>work towards a better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equalization deal with the federal government and to address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the situation and some of the inequities with education funding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and the reliance on property tax. So that was the basic premise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of where we are today.</w:t>
      </w:r>
    </w:p>
    <w:p w14:paraId="710BAACC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For many people, the new boards took effect on January of this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year so they are working. There’s been overlap from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previous boards into the new boards so there has been a bit of a</w:t>
      </w:r>
    </w:p>
    <w:p w14:paraId="67A43B0F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7E73D7">
        <w:rPr>
          <w:rFonts w:ascii="Times New Roman" w:hAnsi="Times New Roman" w:cs="Times New Roman"/>
          <w:sz w:val="24"/>
          <w:szCs w:val="24"/>
          <w:lang w:val="en-CA"/>
        </w:rPr>
        <w:t>transition</w:t>
      </w:r>
      <w:proofErr w:type="gramEnd"/>
      <w:r w:rsidRPr="007E73D7">
        <w:rPr>
          <w:rFonts w:ascii="Times New Roman" w:hAnsi="Times New Roman" w:cs="Times New Roman"/>
          <w:sz w:val="24"/>
          <w:szCs w:val="24"/>
          <w:lang w:val="en-CA"/>
        </w:rPr>
        <w:t xml:space="preserve"> period. For many people, they talk about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restructuring being done, but what I would say is that at this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point in time while the physical boundaries of the new school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divisions are drawn and the new boards are in place, there is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still a great deal of work to do. Many of the school divisions are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working through the programs in the amalgamated divisions,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what’s available, what services are there, what the needs are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within the division, and of course the funding and what will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need to be done within that school division. So on paper,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boundaries are drawn, new boards are in place, but now I think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a great deal of the work begins at this point in time getting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everything settled in and getting the new boards up and running.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What I have is a listing of all of the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previous school divisions with the mill rates, ’04 and ’05, and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the variance. Now I would assume though what you’re looking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for is . . . Do you want just a straight listing or do you want a</w:t>
      </w:r>
      <w:r w:rsidR="007E73D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E73D7">
        <w:rPr>
          <w:rFonts w:ascii="Times New Roman" w:hAnsi="Times New Roman" w:cs="Times New Roman"/>
          <w:sz w:val="24"/>
          <w:szCs w:val="24"/>
          <w:lang w:val="en-CA"/>
        </w:rPr>
        <w:t>broken down, previous school divisions into the new divisions?</w:t>
      </w:r>
    </w:p>
    <w:p w14:paraId="227A9E78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E73D7">
        <w:rPr>
          <w:rFonts w:ascii="Times New Roman" w:hAnsi="Times New Roman" w:cs="Times New Roman"/>
          <w:sz w:val="24"/>
          <w:szCs w:val="24"/>
          <w:lang w:val="en-CA"/>
        </w:rPr>
        <w:t>Is that what you’re looking for?</w:t>
      </w:r>
    </w:p>
    <w:p w14:paraId="551E2A46" w14:textId="77777777" w:rsidR="00F17A54" w:rsidRPr="007E73D7" w:rsidRDefault="00F17A54" w:rsidP="007E73D7">
      <w:pPr>
        <w:pStyle w:val="Textebru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148A09E" w14:textId="77777777" w:rsidR="00DB3CDB" w:rsidRPr="007E73D7" w:rsidRDefault="00DB3CDB" w:rsidP="007E7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DB3CDB" w:rsidRPr="007E73D7" w:rsidSect="00A866B5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54"/>
    <w:rsid w:val="007E73D7"/>
    <w:rsid w:val="00DB3CDB"/>
    <w:rsid w:val="00F1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6C5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17A5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17A5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17A5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17A5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Konan Fabrice Kouame</cp:lastModifiedBy>
  <cp:revision>2</cp:revision>
  <dcterms:created xsi:type="dcterms:W3CDTF">2012-03-26T22:06:00Z</dcterms:created>
  <dcterms:modified xsi:type="dcterms:W3CDTF">2013-05-21T16:37:00Z</dcterms:modified>
</cp:coreProperties>
</file>