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16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708"/>
        <w:gridCol w:w="851"/>
        <w:gridCol w:w="1134"/>
        <w:gridCol w:w="850"/>
        <w:gridCol w:w="1276"/>
        <w:gridCol w:w="1418"/>
        <w:gridCol w:w="1135"/>
      </w:tblGrid>
      <w:tr w:rsidR="00577E5A" w:rsidRPr="00C076AB" w14:paraId="03FAFF38" w14:textId="77777777" w:rsidTr="007E4105">
        <w:tc>
          <w:tcPr>
            <w:tcW w:w="1444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14:paraId="3674D67F" w14:textId="77777777" w:rsidR="00577E5A" w:rsidRPr="00C076AB" w:rsidRDefault="00577E5A" w:rsidP="007E4105">
            <w:pPr>
              <w:spacing w:after="100"/>
              <w:rPr>
                <w:b/>
                <w:bCs/>
                <w:i/>
                <w:sz w:val="20"/>
                <w:szCs w:val="20"/>
                <w:lang w:eastAsia="fr-CA"/>
              </w:rPr>
            </w:pPr>
            <w:bookmarkStart w:id="0" w:name="P80_4617"/>
            <w:bookmarkStart w:id="1" w:name="P80_4447"/>
            <w:bookmarkEnd w:id="0"/>
            <w:bookmarkEnd w:id="1"/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3B55884D" w14:textId="77777777" w:rsidR="00577E5A" w:rsidRPr="00C076AB" w:rsidRDefault="00577E5A" w:rsidP="007E4105">
            <w:pPr>
              <w:spacing w:after="100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5B5AB45C" w14:textId="77777777" w:rsidR="00577E5A" w:rsidRPr="00C076AB" w:rsidRDefault="00577E5A" w:rsidP="007E4105">
            <w:pPr>
              <w:spacing w:after="100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41C604B7" w14:textId="77777777" w:rsidR="00577E5A" w:rsidRPr="00C076AB" w:rsidRDefault="00577E5A" w:rsidP="007E4105">
            <w:pPr>
              <w:spacing w:after="100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4AFAB68" w14:textId="77777777" w:rsidR="00577E5A" w:rsidRPr="00C076AB" w:rsidRDefault="00577E5A" w:rsidP="007E4105">
            <w:pPr>
              <w:spacing w:after="100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424FA732" w14:textId="77777777" w:rsidR="00577E5A" w:rsidRPr="00C076AB" w:rsidRDefault="00577E5A" w:rsidP="007E4105">
            <w:pPr>
              <w:spacing w:after="100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418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4CE1105" w14:textId="77777777" w:rsidR="00577E5A" w:rsidRPr="00C076AB" w:rsidRDefault="00577E5A" w:rsidP="007E4105">
            <w:pPr>
              <w:spacing w:after="100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1135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14:paraId="706F96D9" w14:textId="77777777" w:rsidR="00577E5A" w:rsidRPr="00C076AB" w:rsidRDefault="00577E5A" w:rsidP="007E4105">
            <w:pPr>
              <w:spacing w:after="100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577E5A" w:rsidRPr="00C076AB" w14:paraId="6DD56BD2" w14:textId="77777777" w:rsidTr="007E4105">
        <w:tc>
          <w:tcPr>
            <w:tcW w:w="144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1DA889" w14:textId="77777777" w:rsidR="00577E5A" w:rsidRPr="00C076AB" w:rsidRDefault="00577E5A" w:rsidP="007E4105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proofErr w:type="spellStart"/>
            <w:r>
              <w:rPr>
                <w:bCs/>
                <w:sz w:val="20"/>
                <w:szCs w:val="20"/>
                <w:lang w:eastAsia="fr-CA"/>
              </w:rPr>
              <w:t>Sasketchawan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FD77B84" w14:textId="77777777" w:rsidR="00577E5A" w:rsidRPr="00C076AB" w:rsidRDefault="00577E5A" w:rsidP="007E4105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25</w:t>
            </w:r>
            <w:r w:rsidRPr="00C076AB">
              <w:rPr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C076AB">
              <w:rPr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8AA586F" w14:textId="77777777" w:rsidR="00577E5A" w:rsidRPr="00C076AB" w:rsidRDefault="00577E5A" w:rsidP="007E4105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2</w:t>
            </w:r>
            <w:bookmarkStart w:id="2" w:name="_GoBack"/>
            <w:bookmarkEnd w:id="2"/>
            <w:r w:rsidRPr="00C076AB">
              <w:rPr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C076AB">
              <w:rPr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A0F803A" w14:textId="77777777" w:rsidR="00577E5A" w:rsidRPr="00C076AB" w:rsidRDefault="00577E5A" w:rsidP="007E4105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Discours sur l’éducation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FB70C1C" w14:textId="77777777" w:rsidR="00577E5A" w:rsidRPr="00C076AB" w:rsidRDefault="00577E5A" w:rsidP="007E4105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2005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C585C3F" w14:textId="77777777" w:rsidR="00577E5A" w:rsidRPr="00C076AB" w:rsidRDefault="00577E5A" w:rsidP="007E4105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Andrew Thompson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4D7C111" w14:textId="77777777" w:rsidR="00577E5A" w:rsidRPr="00C076AB" w:rsidRDefault="00577E5A" w:rsidP="007E4105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Ministre de l’éducation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167D66" w14:textId="77777777" w:rsidR="00577E5A" w:rsidRPr="00C076AB" w:rsidRDefault="00577E5A" w:rsidP="007E4105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NPD</w:t>
            </w:r>
          </w:p>
        </w:tc>
      </w:tr>
    </w:tbl>
    <w:p w14:paraId="2F965937" w14:textId="77777777" w:rsidR="00577E5A" w:rsidRDefault="00577E5A" w:rsidP="004D0882">
      <w:pPr>
        <w:pStyle w:val="Textebrut"/>
        <w:rPr>
          <w:rFonts w:ascii="Times New Roman" w:hAnsi="Times New Roman" w:cs="Times New Roman"/>
          <w:sz w:val="24"/>
          <w:szCs w:val="24"/>
          <w:lang w:val="en-CA"/>
        </w:rPr>
      </w:pPr>
    </w:p>
    <w:p w14:paraId="35E96B9F" w14:textId="77777777" w:rsidR="00577E5A" w:rsidRPr="00577E5A" w:rsidRDefault="00577E5A" w:rsidP="004D0882">
      <w:pPr>
        <w:pStyle w:val="Textebrut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577E5A">
        <w:rPr>
          <w:rFonts w:ascii="Times New Roman" w:hAnsi="Times New Roman" w:cs="Times New Roman"/>
          <w:b/>
          <w:sz w:val="24"/>
          <w:szCs w:val="24"/>
          <w:lang w:val="en-CA"/>
        </w:rPr>
        <w:t>Saskatchewan: Education Speech, Second session of the twenty-fifth legislature, 2005.</w:t>
      </w:r>
    </w:p>
    <w:p w14:paraId="56D28807" w14:textId="77777777" w:rsidR="00577E5A" w:rsidRDefault="00577E5A" w:rsidP="00577E5A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5B96981" w14:textId="77777777" w:rsidR="004D0882" w:rsidRPr="00577E5A" w:rsidRDefault="004D0882" w:rsidP="00577E5A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77E5A">
        <w:rPr>
          <w:rFonts w:ascii="Times New Roman" w:hAnsi="Times New Roman" w:cs="Times New Roman"/>
          <w:sz w:val="24"/>
          <w:szCs w:val="24"/>
          <w:lang w:val="en-CA"/>
        </w:rPr>
        <w:t>Thank you very much, Mr. Chairman.</w:t>
      </w:r>
    </w:p>
    <w:p w14:paraId="15116876" w14:textId="77777777" w:rsidR="004D0882" w:rsidRPr="00577E5A" w:rsidRDefault="004D0882" w:rsidP="00577E5A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77E5A">
        <w:rPr>
          <w:rFonts w:ascii="Times New Roman" w:hAnsi="Times New Roman" w:cs="Times New Roman"/>
          <w:sz w:val="24"/>
          <w:szCs w:val="24"/>
          <w:lang w:val="en-CA"/>
        </w:rPr>
        <w:t xml:space="preserve">I’m pleased today to be joined by a number of officials. </w:t>
      </w:r>
      <w:proofErr w:type="spellStart"/>
      <w:r w:rsidRPr="00577E5A">
        <w:rPr>
          <w:rFonts w:ascii="Times New Roman" w:hAnsi="Times New Roman" w:cs="Times New Roman"/>
          <w:sz w:val="24"/>
          <w:szCs w:val="24"/>
          <w:lang w:val="en-CA"/>
        </w:rPr>
        <w:t>Seateddirectly</w:t>
      </w:r>
      <w:proofErr w:type="spellEnd"/>
      <w:r w:rsidRPr="00577E5A">
        <w:rPr>
          <w:rFonts w:ascii="Times New Roman" w:hAnsi="Times New Roman" w:cs="Times New Roman"/>
          <w:sz w:val="24"/>
          <w:szCs w:val="24"/>
          <w:lang w:val="en-CA"/>
        </w:rPr>
        <w:t xml:space="preserve"> next to me is deputy minister, Bonnie </w:t>
      </w:r>
      <w:proofErr w:type="spellStart"/>
      <w:r w:rsidRPr="00577E5A">
        <w:rPr>
          <w:rFonts w:ascii="Times New Roman" w:hAnsi="Times New Roman" w:cs="Times New Roman"/>
          <w:sz w:val="24"/>
          <w:szCs w:val="24"/>
          <w:lang w:val="en-CA"/>
        </w:rPr>
        <w:t>Durnford</w:t>
      </w:r>
      <w:proofErr w:type="spellEnd"/>
      <w:r w:rsidRPr="00577E5A">
        <w:rPr>
          <w:rFonts w:ascii="Times New Roman" w:hAnsi="Times New Roman" w:cs="Times New Roman"/>
          <w:sz w:val="24"/>
          <w:szCs w:val="24"/>
          <w:lang w:val="en-CA"/>
        </w:rPr>
        <w:t>. Next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 xml:space="preserve">to her, Brady </w:t>
      </w:r>
      <w:proofErr w:type="spellStart"/>
      <w:r w:rsidRPr="00577E5A">
        <w:rPr>
          <w:rFonts w:ascii="Times New Roman" w:hAnsi="Times New Roman" w:cs="Times New Roman"/>
          <w:sz w:val="24"/>
          <w:szCs w:val="24"/>
          <w:lang w:val="en-CA"/>
        </w:rPr>
        <w:t>Salloum</w:t>
      </w:r>
      <w:proofErr w:type="spellEnd"/>
      <w:r w:rsidRPr="00577E5A">
        <w:rPr>
          <w:rFonts w:ascii="Times New Roman" w:hAnsi="Times New Roman" w:cs="Times New Roman"/>
          <w:sz w:val="24"/>
          <w:szCs w:val="24"/>
          <w:lang w:val="en-CA"/>
        </w:rPr>
        <w:t xml:space="preserve">, who is the executive director, </w:t>
      </w:r>
      <w:proofErr w:type="gramStart"/>
      <w:r w:rsidRPr="00577E5A">
        <w:rPr>
          <w:rFonts w:ascii="Times New Roman" w:hAnsi="Times New Roman" w:cs="Times New Roman"/>
          <w:sz w:val="24"/>
          <w:szCs w:val="24"/>
          <w:lang w:val="en-CA"/>
        </w:rPr>
        <w:t>student</w:t>
      </w:r>
      <w:proofErr w:type="gramEnd"/>
    </w:p>
    <w:p w14:paraId="57E12E3D" w14:textId="77777777" w:rsidR="00577E5A" w:rsidRDefault="004D0882" w:rsidP="00577E5A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577E5A">
        <w:rPr>
          <w:rFonts w:ascii="Times New Roman" w:hAnsi="Times New Roman" w:cs="Times New Roman"/>
          <w:sz w:val="24"/>
          <w:szCs w:val="24"/>
          <w:lang w:val="en-CA"/>
        </w:rPr>
        <w:t>financial</w:t>
      </w:r>
      <w:proofErr w:type="gramEnd"/>
      <w:r w:rsidRPr="00577E5A">
        <w:rPr>
          <w:rFonts w:ascii="Times New Roman" w:hAnsi="Times New Roman" w:cs="Times New Roman"/>
          <w:sz w:val="24"/>
          <w:szCs w:val="24"/>
          <w:lang w:val="en-CA"/>
        </w:rPr>
        <w:t xml:space="preserve"> assistance. Behind Brady is Kevin </w:t>
      </w:r>
      <w:proofErr w:type="spellStart"/>
      <w:r w:rsidRPr="00577E5A">
        <w:rPr>
          <w:rFonts w:ascii="Times New Roman" w:hAnsi="Times New Roman" w:cs="Times New Roman"/>
          <w:sz w:val="24"/>
          <w:szCs w:val="24"/>
          <w:lang w:val="en-CA"/>
        </w:rPr>
        <w:t>Veitenheimer</w:t>
      </w:r>
      <w:proofErr w:type="spellEnd"/>
      <w:r w:rsidRPr="00577E5A">
        <w:rPr>
          <w:rFonts w:ascii="Times New Roman" w:hAnsi="Times New Roman" w:cs="Times New Roman"/>
          <w:sz w:val="24"/>
          <w:szCs w:val="24"/>
          <w:lang w:val="en-CA"/>
        </w:rPr>
        <w:t>, the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director of university services. And behind Deputy Minister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577E5A">
        <w:rPr>
          <w:rFonts w:ascii="Times New Roman" w:hAnsi="Times New Roman" w:cs="Times New Roman"/>
          <w:sz w:val="24"/>
          <w:szCs w:val="24"/>
          <w:lang w:val="en-CA"/>
        </w:rPr>
        <w:t>Durnford</w:t>
      </w:r>
      <w:proofErr w:type="spellEnd"/>
      <w:r w:rsidRPr="00577E5A">
        <w:rPr>
          <w:rFonts w:ascii="Times New Roman" w:hAnsi="Times New Roman" w:cs="Times New Roman"/>
          <w:sz w:val="24"/>
          <w:szCs w:val="24"/>
          <w:lang w:val="en-CA"/>
        </w:rPr>
        <w:t xml:space="preserve"> is Wayne </w:t>
      </w:r>
      <w:proofErr w:type="spellStart"/>
      <w:r w:rsidRPr="00577E5A">
        <w:rPr>
          <w:rFonts w:ascii="Times New Roman" w:hAnsi="Times New Roman" w:cs="Times New Roman"/>
          <w:sz w:val="24"/>
          <w:szCs w:val="24"/>
          <w:lang w:val="en-CA"/>
        </w:rPr>
        <w:t>McElree</w:t>
      </w:r>
      <w:proofErr w:type="spellEnd"/>
      <w:r w:rsidRPr="00577E5A">
        <w:rPr>
          <w:rFonts w:ascii="Times New Roman" w:hAnsi="Times New Roman" w:cs="Times New Roman"/>
          <w:sz w:val="24"/>
          <w:szCs w:val="24"/>
          <w:lang w:val="en-CA"/>
        </w:rPr>
        <w:t>, who is the assistant deputy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minister. Seated directly behind me is Nelson Wagner, who is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the executive director of facilities. Behind him is Glenda Eden,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the manager of financial planning. Next to her is Trina Fallows,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the director of finance for corporate services. And just over to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 xml:space="preserve">my right is Rick </w:t>
      </w:r>
      <w:proofErr w:type="spellStart"/>
      <w:r w:rsidRPr="00577E5A">
        <w:rPr>
          <w:rFonts w:ascii="Times New Roman" w:hAnsi="Times New Roman" w:cs="Times New Roman"/>
          <w:sz w:val="24"/>
          <w:szCs w:val="24"/>
          <w:lang w:val="en-CA"/>
        </w:rPr>
        <w:t>Pawliw</w:t>
      </w:r>
      <w:proofErr w:type="spellEnd"/>
      <w:r w:rsidRPr="00577E5A">
        <w:rPr>
          <w:rFonts w:ascii="Times New Roman" w:hAnsi="Times New Roman" w:cs="Times New Roman"/>
          <w:sz w:val="24"/>
          <w:szCs w:val="24"/>
          <w:lang w:val="en-CA"/>
        </w:rPr>
        <w:t>, who is executive director of programs.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74B7BCEA" w14:textId="77777777" w:rsidR="00577E5A" w:rsidRDefault="00577E5A" w:rsidP="00577E5A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7D74648" w14:textId="77777777" w:rsidR="004D0882" w:rsidRPr="00577E5A" w:rsidRDefault="004D0882" w:rsidP="00577E5A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77E5A">
        <w:rPr>
          <w:rFonts w:ascii="Times New Roman" w:hAnsi="Times New Roman" w:cs="Times New Roman"/>
          <w:sz w:val="24"/>
          <w:szCs w:val="24"/>
          <w:lang w:val="en-CA"/>
        </w:rPr>
        <w:t>Mr. Chairman, I would just say by way of introduction that I am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particularly pleased that we have the opportunity to discuss the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post-secondary estimates today. Post-secondary education was a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focus of this budget. And our continuing efforts to make sure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Saskatchewan is a great place for students to learn and to live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continues to be emphasized within the initiatives contained in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this budget.</w:t>
      </w:r>
    </w:p>
    <w:p w14:paraId="28B019F0" w14:textId="77777777" w:rsidR="004D0882" w:rsidRPr="00577E5A" w:rsidRDefault="004D0882" w:rsidP="00577E5A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77E5A">
        <w:rPr>
          <w:rFonts w:ascii="Times New Roman" w:hAnsi="Times New Roman" w:cs="Times New Roman"/>
          <w:sz w:val="24"/>
          <w:szCs w:val="24"/>
          <w:lang w:val="en-CA"/>
        </w:rPr>
        <w:t>This budget focuses on making sure that university is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affordable, is accessible, and that we are working to make sure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that there is a closer relationship between our post-secondary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institutions and the economic environment that this province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finds itself in, an economic environment which sees a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tremendous growth as Saskatchewan becomes a have province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and enters its second century</w:t>
      </w:r>
    </w:p>
    <w:p w14:paraId="06DFE79B" w14:textId="77777777" w:rsidR="00577E5A" w:rsidRDefault="00577E5A" w:rsidP="00577E5A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6C4C97F" w14:textId="77777777" w:rsidR="004D0882" w:rsidRPr="00577E5A" w:rsidRDefault="004D0882" w:rsidP="00577E5A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77E5A">
        <w:rPr>
          <w:rFonts w:ascii="Times New Roman" w:hAnsi="Times New Roman" w:cs="Times New Roman"/>
          <w:sz w:val="24"/>
          <w:szCs w:val="24"/>
          <w:lang w:val="en-CA"/>
        </w:rPr>
        <w:t>Mr. Chairman, it is true that in other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jurisdictions where we have seen governments act to put in a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regulation to minimize the degree that tuition can rise or to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 xml:space="preserve">effectively freeze it, as provinces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lastRenderedPageBreak/>
        <w:t>like British Columbia have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done, that what those measures essentially did was simply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postponed tuition increases. The approach that we took in this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budget was not to move forward with a regulated or a legislated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freeze but rather to provide the universities with sufficient funds</w:t>
      </w:r>
    </w:p>
    <w:p w14:paraId="56730313" w14:textId="77777777" w:rsidR="004D0882" w:rsidRPr="00577E5A" w:rsidRDefault="004D0882" w:rsidP="00577E5A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577E5A">
        <w:rPr>
          <w:rFonts w:ascii="Times New Roman" w:hAnsi="Times New Roman" w:cs="Times New Roman"/>
          <w:sz w:val="24"/>
          <w:szCs w:val="24"/>
          <w:lang w:val="en-CA"/>
        </w:rPr>
        <w:t>that</w:t>
      </w:r>
      <w:proofErr w:type="gramEnd"/>
      <w:r w:rsidRPr="00577E5A">
        <w:rPr>
          <w:rFonts w:ascii="Times New Roman" w:hAnsi="Times New Roman" w:cs="Times New Roman"/>
          <w:sz w:val="24"/>
          <w:szCs w:val="24"/>
          <w:lang w:val="en-CA"/>
        </w:rPr>
        <w:t xml:space="preserve"> they could hold the tuition increase to zero this year.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This is a decision that the universities have agreed with; they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have supported our funding regime this year and have said that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they will hold the tuition to what it was this past year. We think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this is a good approach to take. It was a co-operative approach.</w:t>
      </w:r>
    </w:p>
    <w:p w14:paraId="1549C5FF" w14:textId="77777777" w:rsidR="004D0882" w:rsidRPr="00577E5A" w:rsidRDefault="004D0882" w:rsidP="00577E5A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77E5A">
        <w:rPr>
          <w:rFonts w:ascii="Times New Roman" w:hAnsi="Times New Roman" w:cs="Times New Roman"/>
          <w:sz w:val="24"/>
          <w:szCs w:val="24"/>
          <w:lang w:val="en-CA"/>
        </w:rPr>
        <w:t>It was one that met the needs of the university and recognizes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that the universities indeed are the ones who set the tuition fees.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It at the same time provides them with sufficient funds to carry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on their activities in a way that prevents the environment from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developing as we saw in British Columbia.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So that’s how we undertook this. In terms of simplicity, yes, it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provides for an effective freeze of tuition this year, but it is a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freeze that has been established by the universities. They have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made the decision to hold their tuition fee at the same level it</w:t>
      </w:r>
    </w:p>
    <w:p w14:paraId="4A3D9629" w14:textId="77777777" w:rsidR="004D0882" w:rsidRPr="00577E5A" w:rsidRDefault="004D0882" w:rsidP="00577E5A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577E5A">
        <w:rPr>
          <w:rFonts w:ascii="Times New Roman" w:hAnsi="Times New Roman" w:cs="Times New Roman"/>
          <w:sz w:val="24"/>
          <w:szCs w:val="24"/>
          <w:lang w:val="en-CA"/>
        </w:rPr>
        <w:t>was</w:t>
      </w:r>
      <w:proofErr w:type="gramEnd"/>
      <w:r w:rsidRPr="00577E5A">
        <w:rPr>
          <w:rFonts w:ascii="Times New Roman" w:hAnsi="Times New Roman" w:cs="Times New Roman"/>
          <w:sz w:val="24"/>
          <w:szCs w:val="24"/>
          <w:lang w:val="en-CA"/>
        </w:rPr>
        <w:t xml:space="preserve"> last year.</w:t>
      </w:r>
    </w:p>
    <w:p w14:paraId="37B68A85" w14:textId="77777777" w:rsidR="004D0882" w:rsidRPr="00577E5A" w:rsidRDefault="004D0882" w:rsidP="00577E5A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77E5A">
        <w:rPr>
          <w:rFonts w:ascii="Times New Roman" w:hAnsi="Times New Roman" w:cs="Times New Roman"/>
          <w:sz w:val="24"/>
          <w:szCs w:val="24"/>
          <w:lang w:val="en-CA"/>
        </w:rPr>
        <w:t>Yes. The money that we provided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through the centennial student line, which is in the budget, is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contingent on making sure that tuition fees are mitigated this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year. That is a specific, targeted fund for this year.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What we are working through is next year, how that will be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reflected within the budget. And it will need, I would argue, to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roll into the general university budget. But we will need to be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careful to make sure that that money does not simply become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absorbed and then we see a double jump in tuition. That will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need to essentially have reset the base for the tuition for this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year, and that is part of the discussion that is ongoing with the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universities.</w:t>
      </w:r>
    </w:p>
    <w:p w14:paraId="70ECF22C" w14:textId="77777777" w:rsidR="00577E5A" w:rsidRDefault="00577E5A" w:rsidP="00577E5A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D13645D" w14:textId="77777777" w:rsidR="004D0882" w:rsidRPr="00577E5A" w:rsidRDefault="004D0882" w:rsidP="00577E5A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77E5A">
        <w:rPr>
          <w:rFonts w:ascii="Times New Roman" w:hAnsi="Times New Roman" w:cs="Times New Roman"/>
          <w:sz w:val="24"/>
          <w:szCs w:val="24"/>
          <w:lang w:val="en-CA"/>
        </w:rPr>
        <w:t>Mr. Chairman, every year as we go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through the budgeting process with universities and we take a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look at what their requests are, obviously we have a great deal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of detail. We have had many years of discussion about how the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university funding formula should work, and that is a</w:t>
      </w:r>
    </w:p>
    <w:p w14:paraId="7BFE30A7" w14:textId="77777777" w:rsidR="004D0882" w:rsidRPr="00577E5A" w:rsidRDefault="004D0882" w:rsidP="00577E5A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577E5A">
        <w:rPr>
          <w:rFonts w:ascii="Times New Roman" w:hAnsi="Times New Roman" w:cs="Times New Roman"/>
          <w:sz w:val="24"/>
          <w:szCs w:val="24"/>
          <w:lang w:val="en-CA"/>
        </w:rPr>
        <w:t>well</w:t>
      </w:r>
      <w:proofErr w:type="gramEnd"/>
      <w:r w:rsidRPr="00577E5A">
        <w:rPr>
          <w:rFonts w:ascii="Times New Roman" w:hAnsi="Times New Roman" w:cs="Times New Roman"/>
          <w:sz w:val="24"/>
          <w:szCs w:val="24"/>
          <w:lang w:val="en-CA"/>
        </w:rPr>
        <w:t>-established mechanism in the province.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Certainly the universities are autonomous institutions and make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their own budget decisions, but the government funding is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provided to pay for a level of support that we both understand at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the point that it’s provided. I don’t think that we need to be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overly coy about it. We obviously understand what the level of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funding will mean in terms of likely tuition outcomes. We know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 xml:space="preserve">what we expect it to be used for. The </w:t>
      </w:r>
      <w:proofErr w:type="gramStart"/>
      <w:r w:rsidRPr="00577E5A">
        <w:rPr>
          <w:rFonts w:ascii="Times New Roman" w:hAnsi="Times New Roman" w:cs="Times New Roman"/>
          <w:sz w:val="24"/>
          <w:szCs w:val="24"/>
          <w:lang w:val="en-CA"/>
        </w:rPr>
        <w:t>line-to-line issues are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determined by the university boards</w:t>
      </w:r>
      <w:proofErr w:type="gramEnd"/>
      <w:r w:rsidRPr="00577E5A">
        <w:rPr>
          <w:rFonts w:ascii="Times New Roman" w:hAnsi="Times New Roman" w:cs="Times New Roman"/>
          <w:sz w:val="24"/>
          <w:szCs w:val="24"/>
          <w:lang w:val="en-CA"/>
        </w:rPr>
        <w:t xml:space="preserve"> and they make those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 xml:space="preserve">decisions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lastRenderedPageBreak/>
        <w:t>appropriately.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But the 160-some million that we’re providing to the U of S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[University of Saskatchewan] this year and the 50- or 60-some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million that we’re providing — 60-some million we’re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providing to the U of R [University of Regina], we have certain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understandings as to what that money will be used for.</w:t>
      </w:r>
    </w:p>
    <w:p w14:paraId="619D73F2" w14:textId="77777777" w:rsidR="004D0882" w:rsidRPr="00577E5A" w:rsidRDefault="004D0882" w:rsidP="00577E5A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77E5A">
        <w:rPr>
          <w:rFonts w:ascii="Times New Roman" w:hAnsi="Times New Roman" w:cs="Times New Roman"/>
          <w:sz w:val="24"/>
          <w:szCs w:val="24"/>
          <w:lang w:val="en-CA"/>
        </w:rPr>
        <w:t>This year we’ve inserted a specific line in the budget to deal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with tuition mitigation, in part in recognition to the fact that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students and youth are a priority of this government and that we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have wanted to reflect that clearly in this our centennial year, in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this our centennial budget, and to have that very clearly outlined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so that students saw that their efforts were appreciated and were</w:t>
      </w:r>
      <w:r w:rsidR="00577E5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77E5A">
        <w:rPr>
          <w:rFonts w:ascii="Times New Roman" w:hAnsi="Times New Roman" w:cs="Times New Roman"/>
          <w:sz w:val="24"/>
          <w:szCs w:val="24"/>
          <w:lang w:val="en-CA"/>
        </w:rPr>
        <w:t>noted in a document as important as the provincial budget.</w:t>
      </w:r>
    </w:p>
    <w:p w14:paraId="7075FFBA" w14:textId="77777777" w:rsidR="004D0882" w:rsidRPr="00577E5A" w:rsidRDefault="004D0882" w:rsidP="00577E5A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9E0633A" w14:textId="77777777" w:rsidR="00DB3CDB" w:rsidRPr="00577E5A" w:rsidRDefault="00DB3CDB" w:rsidP="00577E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sectPr w:rsidR="00DB3CDB" w:rsidRPr="00577E5A" w:rsidSect="006A2836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82"/>
    <w:rsid w:val="004D0882"/>
    <w:rsid w:val="00577E5A"/>
    <w:rsid w:val="00D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9B0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4D088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D0882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4D088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D088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835</Words>
  <Characters>4594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Brunelle-Hamann, Camille</dc:creator>
  <cp:lastModifiedBy>Konan Fabrice Kouame</cp:lastModifiedBy>
  <cp:revision>2</cp:revision>
  <dcterms:created xsi:type="dcterms:W3CDTF">2012-03-26T22:04:00Z</dcterms:created>
  <dcterms:modified xsi:type="dcterms:W3CDTF">2013-05-21T16:28:00Z</dcterms:modified>
</cp:coreProperties>
</file>