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DB6C2D" w:rsidRPr="009D7F2E" w:rsidTr="002922DD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DB6C2D" w:rsidRPr="009D7F2E" w:rsidTr="002922DD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DB6C2D" w:rsidRPr="009D7F2E" w:rsidRDefault="00DB6C2D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56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AB571E" w:rsidRDefault="00DB6C2D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3</w:t>
            </w:r>
            <w:r w:rsidRPr="00DB6C2D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Estimés budgétaires des dépenses en capital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17-12-2008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Kelly Lamrock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6C2D" w:rsidRPr="009D7F2E" w:rsidRDefault="00DB6C2D" w:rsidP="002922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PL</w:t>
            </w:r>
          </w:p>
        </w:tc>
      </w:tr>
    </w:tbl>
    <w:p w:rsidR="004E271B" w:rsidRDefault="004E271B"/>
    <w:p w:rsidR="00DB6C2D" w:rsidRDefault="00DB6C2D" w:rsidP="00DB6C2D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DB6C2D" w:rsidRDefault="00DB6C2D"/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DB6C2D">
        <w:rPr>
          <w:rFonts w:eastAsiaTheme="minorHAnsi"/>
          <w:b/>
          <w:bCs/>
          <w:lang w:val="en-CA" w:eastAsia="en-US"/>
        </w:rPr>
        <w:t>Department of Education</w:t>
      </w: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b/>
          <w:bCs/>
          <w:lang w:val="en-CA" w:eastAsia="en-US"/>
        </w:rPr>
        <w:t xml:space="preserve">Hon. Mr. Lamrock, </w:t>
      </w:r>
      <w:r w:rsidRPr="00DB6C2D">
        <w:rPr>
          <w:rFonts w:eastAsiaTheme="minorHAnsi"/>
          <w:lang w:val="en-CA" w:eastAsia="en-US"/>
        </w:rPr>
        <w:t>after the item under the Department of Education had been presented: Indeed,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 xml:space="preserve">it gives me great pleasure to rise today to talk about the capital budget for the upcoming year. </w:t>
      </w: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This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year, we will have a capital budget of $49.5 million to invest in new schools. This is on top of the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funding for two new P3 budgets. It will mean that this capital budget is part of the government’s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balanced approach to stimulate the New Brunswick economy. We will have more construction than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in any capital budget in history.</w:t>
      </w: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We know, of course, that the government’s main focus has been on the classroom. That is why we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were pleased to see the largest increase in literacy in New Brunswick’s history in the last two years.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Now, we must also turn our attention to making sure that our children have safe, clean, and up-to</w:t>
      </w:r>
      <w:r w:rsidR="00B15A04">
        <w:rPr>
          <w:rFonts w:eastAsiaTheme="minorHAnsi"/>
          <w:lang w:val="en-CA" w:eastAsia="en-US"/>
        </w:rPr>
        <w:t>-</w:t>
      </w:r>
      <w:r w:rsidRPr="00DB6C2D">
        <w:rPr>
          <w:rFonts w:eastAsiaTheme="minorHAnsi"/>
          <w:lang w:val="en-CA" w:eastAsia="en-US"/>
        </w:rPr>
        <w:t>date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classrooms.</w:t>
      </w: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With the indulgence of the House, I would like to give a brief summary of the projects that we can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expect to see as part of this capital budget.</w:t>
      </w: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DB6C2D">
        <w:rPr>
          <w:rFonts w:eastAsiaTheme="minorHAnsi"/>
          <w:lang w:val="fr-FR" w:eastAsia="en-US"/>
        </w:rPr>
        <w:t>On sait bien que les gens de Dieppe ont un problème. C’est une ville très populaire, et il y a</w:t>
      </w: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DB6C2D">
        <w:rPr>
          <w:rFonts w:eastAsiaTheme="minorHAnsi"/>
          <w:lang w:val="fr-FR" w:eastAsia="en-US"/>
        </w:rPr>
        <w:t>beaucoup de gens qui viennent habiter Dieppe. En même temps, c’est un défi pour les écoles. Il y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a beaucoup de gens, et pour être absolument honnête, comme le président du district scolaire 1,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Ernest Thibodeau, vient de dire : Il y a trop de monde à l’école Sainte-Thérèse. C’est le temps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d’agrandir l’école et d’avoir une nouvelle école à Dieppe pour tous les enfants de la région de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Moncton.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C’est pourquoi je suis fier d’annoncer que nous avons 11 millions de dollars pour l’agrandissement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de l’école Sainte-Thérèse, à Dieppe. Nous allons commencer cette année. J’aimerais féliciter le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député de Memramcook-Lakeville-Dieppe, de ce côté de la Chambre, qui a travaillé très fort.</w:t>
      </w: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Last year, we also recognized that the problem we have seen in Dieppe is equally true in Moncton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North. Evergreen Park School is overcrowded, for good reason. We see that, as part of the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province’s overall population growth, there is a particular concentration in Moncton. That means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that we need to respond with schools that have enough space for all the students who are coming to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the Greater Moncton area. As part of our public-private partnership, construction will begin this year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on a new school in the north side of Moncton, in District 2.</w:t>
      </w: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DB6C2D">
        <w:rPr>
          <w:rFonts w:eastAsiaTheme="minorHAnsi"/>
          <w:lang w:val="fr-FR" w:eastAsia="en-US"/>
        </w:rPr>
        <w:t>Dans le district 5, j’aimerais féliciter la population de trois collectivités qui ont travaillé ensemble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pour rassembler sa population étudiante dans une nouvelle école. On va rassembler les enfants de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Dundee, d’Eel River et de Balmoral dans une nouvelle école à Balmoral pour la région du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Restigouche. Cette année, on va investir 650 000 $ pour commencer le projet et on va bâtir cette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école l’année prochaine.</w:t>
      </w: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lastRenderedPageBreak/>
        <w:t>As did every member of the House, I enjoyed the speech from the member for Saint John East this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morning. He has been a passionate defender of Saint John and of health care. The last thing the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opposition members want to do is ask where the member for Saint John East has been, because they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found out. He has been building health care facilities and medical schools in his region. He also left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one thing out that he worked on. If you think he is tough on you guys, you should see him in the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caucus room. I am proud to announce that, because of the work of the entire Saint John caucus, we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will move forward with $1.2 million for the construction of the cafeteria at Bayside Middle School,</w:t>
      </w:r>
      <w:r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and Phase 2 of a $5-million project in Saint John.</w:t>
      </w: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DB6C2D">
        <w:rPr>
          <w:rFonts w:eastAsiaTheme="minorHAnsi"/>
          <w:lang w:val="fr-FR" w:eastAsia="en-US"/>
        </w:rPr>
        <w:t>Comme vous le savez, l’année dernière, on a investi pour commencer le projet à l’école Clément-Cormier. Cette année, on va investir un total de 6 millions de dollars pour les rénovations à cette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école afin de s’assurer que cette école est convenable pour tous les élèves. Je note que les deux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députés de Kent sont bien contents. Il y a deux grands députés là-bas, et je suis certain que l’ancien</w:t>
      </w:r>
      <w:r>
        <w:rPr>
          <w:rFonts w:eastAsiaTheme="minorHAnsi"/>
          <w:lang w:val="fr-FR" w:eastAsia="en-US"/>
        </w:rPr>
        <w:t xml:space="preserve"> </w:t>
      </w:r>
      <w:r w:rsidRPr="00DB6C2D">
        <w:rPr>
          <w:rFonts w:eastAsiaTheme="minorHAnsi"/>
          <w:lang w:val="fr-FR" w:eastAsia="en-US"/>
        </w:rPr>
        <w:t>ministre de l’Éducation veut appuyer ce projet-ci.</w:t>
      </w: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(Interjections.)</w:t>
      </w:r>
    </w:p>
    <w:p w:rsidR="00237D83" w:rsidRPr="00DB6C2D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b/>
          <w:bCs/>
          <w:lang w:val="en-CA" w:eastAsia="en-US"/>
        </w:rPr>
        <w:t>Hon. Mr. Lamrock</w:t>
      </w:r>
      <w:r w:rsidRPr="00DB6C2D">
        <w:rPr>
          <w:rFonts w:eastAsiaTheme="minorHAnsi"/>
          <w:lang w:val="en-CA" w:eastAsia="en-US"/>
        </w:rPr>
        <w:t>: It is nice to hear. They all say they are against all the spending, but they are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not against any of the projects we get with it. That is nice to see.</w:t>
      </w:r>
    </w:p>
    <w:p w:rsidR="00237D83" w:rsidRPr="00DB6C2D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37D83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Of course, we also know we have a number of folks who stood up . . . For a long time, Andover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Elementary School has been neglected. That was why it was announced in the Premier’s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speech—and I am pleased to tell the member for Victoria-Tobique—that we will start with $200</w:t>
      </w:r>
      <w:r w:rsidR="00237D83">
        <w:rPr>
          <w:rFonts w:eastAsiaTheme="minorHAnsi"/>
          <w:lang w:val="en-CA" w:eastAsia="en-US"/>
        </w:rPr>
        <w:t> </w:t>
      </w:r>
      <w:r w:rsidRPr="00DB6C2D">
        <w:rPr>
          <w:rFonts w:eastAsiaTheme="minorHAnsi"/>
          <w:lang w:val="en-CA" w:eastAsia="en-US"/>
        </w:rPr>
        <w:t>000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for a new gym to back up the 100 new physical education mentors that we put into the system. Kids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will have a proper gym in which to learn at Andover Elementary School.</w:t>
      </w:r>
      <w:r w:rsidR="00237D83">
        <w:rPr>
          <w:rFonts w:eastAsiaTheme="minorHAnsi"/>
          <w:lang w:val="en-CA" w:eastAsia="en-US"/>
        </w:rPr>
        <w:t xml:space="preserve"> </w:t>
      </w:r>
    </w:p>
    <w:p w:rsidR="00237D83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This year, we will see a new school in District 16. We will begin construction in the Rexton area to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upgrade Eleanor W. Graham Middle School, and that will accommodate 300 students from Grades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6 to 8.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This is one I have been looking forward to. I notice that we have a number of folks here whom I met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once before. There is a delegation here from Minto Memorial High School. I have to tell you that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the MLA for Grand Lake-Gagetown had asked me to meet with these folks. The students had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actually prepared a video to talk about how important the trades were to their economic future in the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Greater Queens area and in Minto. Also, they wanted to make sure that we understood that we had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to upgrade that facility.</w:t>
      </w:r>
    </w:p>
    <w:p w:rsidR="00237D83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As you know, last year, this government invested $2 million in ensuring that we updated our trades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curriculum and in returning the trades to every high school in New Brunswick. We are proud to be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able to do that. The trades should be there for every child who has those particular strengths. Now,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we have to begin the next phase: making sure that we have not only the curriculum and the teachers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to teach the trades, but also the proper facilities. I am proud to say that the first place we are going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to upgrade is the shop lab at Minto Memorial High School, with an investment of $1 million. Those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students will have a place to learn a trade, and we are glad to do it.</w:t>
      </w:r>
    </w:p>
    <w:p w:rsidR="00237D83" w:rsidRPr="00DB6C2D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I notice that the teachers are congratulating the students. That is appropriate, by the way. The</w:t>
      </w: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students were very articulate spokespeople, and I hope that they will communicate to the folks at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 xml:space="preserve">Minto how much of a difference they made by getting involved in the political </w:t>
      </w:r>
      <w:r w:rsidRPr="00DB6C2D">
        <w:rPr>
          <w:rFonts w:eastAsiaTheme="minorHAnsi"/>
          <w:lang w:val="en-CA" w:eastAsia="en-US"/>
        </w:rPr>
        <w:lastRenderedPageBreak/>
        <w:t>process. I notice that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the member for Grand Lake-Gagetown is beaming at this one too. He was pretty dogged on this one.</w:t>
      </w:r>
    </w:p>
    <w:p w:rsidR="00237D83" w:rsidRPr="00DB6C2D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Of course, we know that, in District 18, in September, we will be breaking ground on a new middle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school in the riding of Fredericton-Lincoln. It will be state-of-the-art, thanks to the efforts of my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colleague from Fredericton-Lincoln. We look forward to welcoming students to Bliss Carman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Middle School and building on a great history at Albert Street Middle School—a middle school that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turned out many distinguished graduates, and me as well.</w:t>
      </w:r>
    </w:p>
    <w:p w:rsidR="00237D83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We also have some good news for folks in the upper Miramichi. This year, we will be putting in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$150 000 for the architectural design and planning of renovations to Doaktown Consolidated School.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Also, I have to tell you that the Minister of Human Resources and I had a great day in New Bandon.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I do not know exactly what the population of New Bandon is, but I am pretty sure that if you had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counted who was in the town hall, that would have been all of them. We had the town excited to turn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out. The member for Southwest Miramichi did a great job of getting two communities to work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together to build something greater because they cooperated and put aside regional differences.</w:t>
      </w:r>
    </w:p>
    <w:p w:rsidR="00237D83" w:rsidRPr="00DB6C2D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(Applause.)</w:t>
      </w:r>
    </w:p>
    <w:p w:rsidR="00237D83" w:rsidRPr="00DB6C2D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b/>
          <w:bCs/>
          <w:lang w:val="en-CA" w:eastAsia="en-US"/>
        </w:rPr>
        <w:t>Hon. Mr. Lamrock</w:t>
      </w:r>
      <w:r w:rsidRPr="00DB6C2D">
        <w:rPr>
          <w:rFonts w:eastAsiaTheme="minorHAnsi"/>
          <w:lang w:val="en-CA" w:eastAsia="en-US"/>
        </w:rPr>
        <w:t>: He deserves that, because, this year, we will see $6.4 million for a new school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in New Bandon, for students in Boiestown, Doaktown, and the upper Miramichi. It will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accommodate 350 students from Grades 6 to 12. Unlike the previous smaller schools, it will have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proper facilities for trades. It will have a proper library. It will have facilities to give those kids equal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opportunity, because that is what building schools is all about.</w:t>
      </w:r>
    </w:p>
    <w:p w:rsidR="00237D83" w:rsidRDefault="00237D83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9464B0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In addition, I will be happy to share details at another time, so as not to take up too much more time.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This year, we have increased the budget for minor repairs. We know that we have a number of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projects that have to be done. The average age of schools in New Brunswick is 40 years, and that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did not accumulate overnight. It accumulated over years of neglect. No party should be proud of its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historical record in building schools. We know that we need to begin to chip away at that.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That is why, this year, we have funds for projects like making sure that we have safe facilities,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making sure that we have new roofs and proper windows, making sure that the walls are fixed up</w:t>
      </w:r>
      <w:r w:rsidR="00237D83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so that schools do not fall into disrepair, making sure that we have proper theatres and safe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 xml:space="preserve">gymnasiums. It is not glamorous work, but it matters a lot to the communities there. </w:t>
      </w:r>
    </w:p>
    <w:p w:rsidR="009464B0" w:rsidRDefault="009464B0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This year, we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have increased that budget by $5 million; it is up to $21.9 million that we can invest in schools.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I know that my friend from Riverview asked me about this, and I have nieces who go to Claude D.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Taylor School. When I was there to read to them, the principal showed me the parking lot and dropoff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zone. You will be happy to know that, this year, I placed a call to the principal and told her that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nearly $400 000 would be put into that project, so that there would be a safe drop-off zone at Claude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D. Taylor.</w:t>
      </w:r>
    </w:p>
    <w:p w:rsidR="009464B0" w:rsidRDefault="009464B0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There is one final thing I want to highlight out of this budget. The community of Port Elgin deserves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an awful lot of congratulations. I was there for the launch of the community school. Some people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have said that you cannot have a community school in a rural area, or that we should always worry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that we would leave them behind. It is not true, because that school is a true community school. We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have seen the local garage step up to give students a chance to learn a trade and to have a co-op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 xml:space="preserve">program. We have local organizations across the region, </w:t>
      </w:r>
      <w:r w:rsidRPr="00DB6C2D">
        <w:rPr>
          <w:rFonts w:eastAsiaTheme="minorHAnsi"/>
          <w:lang w:val="en-CA" w:eastAsia="en-US"/>
        </w:rPr>
        <w:lastRenderedPageBreak/>
        <w:t>helping to make sure that students have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volunteer learning opportunities.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There are more and more entrepreneurs mentoring students who have strengths in that area, and they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came forward with a proposal. Thanks to an innovative partnership with the new regional health</w:t>
      </w:r>
    </w:p>
    <w:p w:rsidR="00DB6C2D" w:rsidRDefault="00DB6C2D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B6C2D">
        <w:rPr>
          <w:rFonts w:eastAsiaTheme="minorHAnsi"/>
          <w:lang w:val="en-CA" w:eastAsia="en-US"/>
        </w:rPr>
        <w:t>authority, they actually want to have a school that is a true centre of the community, that offers a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health centre. That way, students’ health needs, which are so vital to success in early childhood, can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be dealt with in the same building where they get their education. The teaching team can work with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medical personnel to do that.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They had started fund-raising, but $30 000 is a lot of money for a community the size of Port Elgin.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That is why, this year, to make the necessary renovations to have a true community partnership with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Port Elgin School, we are putting in $30 000 to make sure that Port Elgin can have its community</w:t>
      </w:r>
      <w:r w:rsidR="009464B0">
        <w:rPr>
          <w:rFonts w:eastAsiaTheme="minorHAnsi"/>
          <w:lang w:val="en-CA" w:eastAsia="en-US"/>
        </w:rPr>
        <w:t xml:space="preserve"> </w:t>
      </w:r>
      <w:r w:rsidRPr="00DB6C2D">
        <w:rPr>
          <w:rFonts w:eastAsiaTheme="minorHAnsi"/>
          <w:lang w:val="en-CA" w:eastAsia="en-US"/>
        </w:rPr>
        <w:t>school. It can be done in a small community. I want to salute the teaching team there.</w:t>
      </w:r>
    </w:p>
    <w:p w:rsidR="009464B0" w:rsidRPr="00DB6C2D" w:rsidRDefault="009464B0" w:rsidP="00DB6C2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B6C2D" w:rsidRPr="00DB6C2D" w:rsidRDefault="00DB6C2D" w:rsidP="00DB6C2D">
      <w:pPr>
        <w:jc w:val="both"/>
        <w:rPr>
          <w:lang w:val="en-CA"/>
        </w:rPr>
      </w:pPr>
      <w:r w:rsidRPr="00DB6C2D">
        <w:rPr>
          <w:rFonts w:eastAsiaTheme="minorHAnsi"/>
          <w:lang w:val="en-CA" w:eastAsia="en-US"/>
        </w:rPr>
        <w:t>Thank you very much, and I look forward to answering questions.</w:t>
      </w:r>
      <w:r w:rsidR="00B15A04">
        <w:rPr>
          <w:rFonts w:eastAsiaTheme="minorHAnsi"/>
          <w:lang w:val="en-CA" w:eastAsia="en-US"/>
        </w:rPr>
        <w:t xml:space="preserve"> </w:t>
      </w:r>
    </w:p>
    <w:sectPr w:rsidR="00DB6C2D" w:rsidRPr="00DB6C2D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DB6C2D"/>
    <w:rsid w:val="00237D83"/>
    <w:rsid w:val="004E271B"/>
    <w:rsid w:val="00761221"/>
    <w:rsid w:val="009464B0"/>
    <w:rsid w:val="00B15A04"/>
    <w:rsid w:val="00CC50EB"/>
    <w:rsid w:val="00D6219F"/>
    <w:rsid w:val="00D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2D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DB6C2D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DB6C2D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1721</Words>
  <Characters>9466</Characters>
  <Application>Microsoft Office Word</Application>
  <DocSecurity>0</DocSecurity>
  <Lines>78</Lines>
  <Paragraphs>22</Paragraphs>
  <ScaleCrop>false</ScaleCrop>
  <Company>Acer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2013-04-01T14:54:00Z</dcterms:created>
  <dcterms:modified xsi:type="dcterms:W3CDTF">2013-04-01T15:12:00Z</dcterms:modified>
</cp:coreProperties>
</file>