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C77E08" w:rsidRPr="009D7F2E" w:rsidTr="00287B38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C77E08" w:rsidRPr="009D7F2E" w:rsidTr="00287B38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C77E08" w:rsidRPr="009D7F2E" w:rsidRDefault="00C77E08" w:rsidP="00287B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56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AB571E" w:rsidRDefault="00C77E08" w:rsidP="00287B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2e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27-05-2008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Kelly Lamrock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7E08" w:rsidRPr="009D7F2E" w:rsidRDefault="00C77E08" w:rsidP="00287B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PL</w:t>
            </w:r>
          </w:p>
        </w:tc>
      </w:tr>
    </w:tbl>
    <w:p w:rsidR="004E271B" w:rsidRDefault="004E271B"/>
    <w:p w:rsidR="00C77E08" w:rsidRDefault="00C77E08" w:rsidP="00C77E08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C77E08" w:rsidRDefault="00C77E08" w:rsidP="00C77E08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C77E08">
        <w:rPr>
          <w:rFonts w:eastAsiaTheme="minorHAnsi"/>
          <w:b/>
          <w:bCs/>
          <w:lang w:val="en-CA" w:eastAsia="en-US"/>
        </w:rPr>
        <w:t>Department of Education</w:t>
      </w: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E05BD9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b/>
          <w:bCs/>
          <w:lang w:val="en-CA" w:eastAsia="en-US"/>
        </w:rPr>
        <w:t xml:space="preserve">Hon. Mr. Lamrock, </w:t>
      </w:r>
      <w:r w:rsidRPr="00C77E08">
        <w:rPr>
          <w:rFonts w:eastAsiaTheme="minorHAnsi"/>
          <w:lang w:val="en-CA" w:eastAsia="en-US"/>
        </w:rPr>
        <w:t>after all items under the Department of Education had been presented: I would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just like to make a few brief comments to put this year’s estimates for the Department of Education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 xml:space="preserve">in context. </w:t>
      </w:r>
    </w:p>
    <w:p w:rsidR="00E05BD9" w:rsidRDefault="00E05BD9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 xml:space="preserve">This represents year two of </w:t>
      </w:r>
      <w:proofErr w:type="gramStart"/>
      <w:r w:rsidRPr="00C77E08">
        <w:rPr>
          <w:rFonts w:eastAsiaTheme="minorHAnsi"/>
          <w:i/>
          <w:iCs/>
          <w:lang w:val="en-CA" w:eastAsia="en-US"/>
        </w:rPr>
        <w:t>When</w:t>
      </w:r>
      <w:proofErr w:type="gramEnd"/>
      <w:r w:rsidRPr="00C77E08">
        <w:rPr>
          <w:rFonts w:eastAsiaTheme="minorHAnsi"/>
          <w:i/>
          <w:iCs/>
          <w:lang w:val="en-CA" w:eastAsia="en-US"/>
        </w:rPr>
        <w:t xml:space="preserve"> kids come first, </w:t>
      </w:r>
      <w:r w:rsidRPr="00C77E08">
        <w:rPr>
          <w:rFonts w:eastAsiaTheme="minorHAnsi"/>
          <w:lang w:val="en-CA" w:eastAsia="en-US"/>
        </w:rPr>
        <w:t>our plan to build the best education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system in Canada, together with New Brunswickers and their communities and together with the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teachers and educators in our system. This was the challenge given to us in the election of 2006, and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it is the challenge that drives us today.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We know full well that, for too long, New Brunswick has been too satisfied with literacy rates and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performance rates in school that will simply not do in the new economy. In the unforgiving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environment of today, jobs, investments, and opportunity will follow those jurisdictions that give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their graduates a chance to read, write, and do math and science well enough to solve novel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problems every single day, and to be able to learn new technologies and new product lines. In short,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the jurisdictions that do the best job of improving their educational outcomes are the jurisdictions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that will know economic success.</w:t>
      </w:r>
    </w:p>
    <w:p w:rsidR="00E05BD9" w:rsidRPr="00C77E08" w:rsidRDefault="00E05BD9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E05BD9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I speak not only as a minister, but as a parent. When my youngest child walks across the graduation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stage in 2020, she will know a world that is radically different from the one that her parents knew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when they walked across the graduation stage in the eighties. In the world that my child will walk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into, the average worker will change jobs 14 times by the age of 38. In the world that my child will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walk into, we will not just do business down the street or even down the highway. Business will be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done globally. The workers who are going to succeed are the ones who can constantly invent new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 xml:space="preserve">products, create new knowledge, deal with an ever-changing </w:t>
      </w:r>
      <w:proofErr w:type="gramStart"/>
      <w:r w:rsidRPr="00C77E08">
        <w:rPr>
          <w:rFonts w:eastAsiaTheme="minorHAnsi"/>
          <w:lang w:val="en-CA" w:eastAsia="en-US"/>
        </w:rPr>
        <w:t>world,</w:t>
      </w:r>
      <w:proofErr w:type="gramEnd"/>
      <w:r w:rsidRPr="00C77E08">
        <w:rPr>
          <w:rFonts w:eastAsiaTheme="minorHAnsi"/>
          <w:lang w:val="en-CA" w:eastAsia="en-US"/>
        </w:rPr>
        <w:t xml:space="preserve"> and work across international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boundaries. That means that we need to rethink completely how our education system works for all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of our kids.</w:t>
      </w:r>
      <w:r w:rsidR="00E05BD9">
        <w:rPr>
          <w:rFonts w:eastAsiaTheme="minorHAnsi"/>
          <w:lang w:val="en-CA" w:eastAsia="en-US"/>
        </w:rPr>
        <w:t xml:space="preserve"> </w:t>
      </w:r>
    </w:p>
    <w:p w:rsidR="00E05BD9" w:rsidRDefault="00E05BD9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i/>
          <w:iCs/>
          <w:lang w:val="en-CA" w:eastAsia="en-US"/>
        </w:rPr>
        <w:t xml:space="preserve">When kids come first </w:t>
      </w:r>
      <w:r w:rsidRPr="00C77E08">
        <w:rPr>
          <w:rFonts w:eastAsiaTheme="minorHAnsi"/>
          <w:lang w:val="en-CA" w:eastAsia="en-US"/>
        </w:rPr>
        <w:t>is based upon three very simple principles. The ones that are reflected in this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year’s budget show the new direction of reform with the largest increase to the Education budget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in a generation. Three principles underline this year’s set of reforms. One, we believe that every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single child should have high expectations, and we should believe that, with the right supports and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the right environment, every child can succeed in every area of the curriculum. We should never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declare any area, any subject, or any goal off-limits to any child. Our challenge as a government and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our challenge as a community of educators is to put the right supports in place.</w:t>
      </w:r>
    </w:p>
    <w:p w:rsidR="00E05BD9" w:rsidRPr="00C77E08" w:rsidRDefault="00E05BD9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77E08">
        <w:rPr>
          <w:rFonts w:eastAsiaTheme="minorHAnsi"/>
          <w:lang w:val="fr-FR" w:eastAsia="en-US"/>
        </w:rPr>
        <w:t>Deuxièmement, on croit fortement que chaque enfant peut réussir s’il utilise ses forces et ses</w:t>
      </w:r>
    </w:p>
    <w:p w:rsidR="00C77E08" w:rsidRPr="00E05BD9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proofErr w:type="gramStart"/>
      <w:r w:rsidRPr="00C77E08">
        <w:rPr>
          <w:rFonts w:eastAsiaTheme="minorHAnsi"/>
          <w:lang w:val="fr-FR" w:eastAsia="en-US"/>
        </w:rPr>
        <w:t>passions</w:t>
      </w:r>
      <w:proofErr w:type="gramEnd"/>
      <w:r w:rsidRPr="00C77E08">
        <w:rPr>
          <w:rFonts w:eastAsiaTheme="minorHAnsi"/>
          <w:lang w:val="fr-FR" w:eastAsia="en-US"/>
        </w:rPr>
        <w:t xml:space="preserve"> pour développer un intérêt dans la lecture, dans l’écriture, dans les mathématiques et dans</w:t>
      </w:r>
      <w:r w:rsidR="00E05BD9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les sciences. Pour cela, on doit avoir un programme universel, mais aussi une approche individuelle</w:t>
      </w:r>
      <w:r w:rsidR="00E05BD9">
        <w:rPr>
          <w:rFonts w:eastAsiaTheme="minorHAnsi"/>
          <w:lang w:val="fr-FR" w:eastAsia="en-US"/>
        </w:rPr>
        <w:t xml:space="preserve"> </w:t>
      </w:r>
      <w:r w:rsidRPr="00E05BD9">
        <w:rPr>
          <w:rFonts w:eastAsiaTheme="minorHAnsi"/>
          <w:lang w:val="fr-FR" w:eastAsia="en-US"/>
        </w:rPr>
        <w:t>pour chaque élève.</w:t>
      </w:r>
    </w:p>
    <w:p w:rsidR="00E05BD9" w:rsidRPr="00E05BD9" w:rsidRDefault="00E05BD9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While we have universal expectations of success, we have more individual teaching methods. That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means that we have a diversity of teaching methods. We allow creativity among our teachers and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 diversity of different ways for kids to learn by doing things that engage them, their strengths, and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their passion. We need a universal curriculum, yes, but also a way of teaching that reaches every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child as an individual. Finally, we must break free of the old ways of monitoring our teacher system.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For too long, we have held teachers responsible for how they teach. We have given them long lists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of instructions on how to teach their class. Then, we have been surprisingly indifferent to the results.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I would note, for instance, that, only a few years ago, we saw a government cut the evaluation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budget to know how well our kids were reading, writing, and doing math. Yet, we gave more and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more instructions. Today’s teachers are highly paid and highly respected professionals, and we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should treat them as such. That means that every teacher should be freed up to teach the classes that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they see fit. We should allow teachers to be leaders in their profession by rewarding and recognizing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the ideas that get the best results. We should share our leaders and our teaching profession with the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schools that need to be raised up. We should reward and celebrate innovation and creativity, not just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have teachers following instructions or seniority among our teachers.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These three principles—universal expectations of success, teaching tailored to the individual needs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and strengths of every child, and an atmosphere of creativity and innovation for our teachers—are</w:t>
      </w: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proofErr w:type="gramStart"/>
      <w:r w:rsidRPr="00C77E08">
        <w:rPr>
          <w:rFonts w:eastAsiaTheme="minorHAnsi"/>
          <w:lang w:val="en-CA" w:eastAsia="en-US"/>
        </w:rPr>
        <w:t>how</w:t>
      </w:r>
      <w:proofErr w:type="gramEnd"/>
      <w:r w:rsidRPr="00C77E08">
        <w:rPr>
          <w:rFonts w:eastAsiaTheme="minorHAnsi"/>
          <w:lang w:val="en-CA" w:eastAsia="en-US"/>
        </w:rPr>
        <w:t xml:space="preserve"> we will build the best education system in Canada.</w:t>
      </w:r>
    </w:p>
    <w:p w:rsidR="00E05BD9" w:rsidRPr="00C77E08" w:rsidRDefault="00E05BD9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CA" w:eastAsia="en-US"/>
        </w:rPr>
      </w:pPr>
      <w:r w:rsidRPr="00C77E08">
        <w:rPr>
          <w:rFonts w:eastAsiaTheme="minorHAnsi"/>
          <w:lang w:val="en-CA" w:eastAsia="en-US"/>
        </w:rPr>
        <w:t>I am pleased to announce that this year’s budget represents an increase of $66 million to the school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system, the largest increase to the Education budget in a generation. Spending will go up by $768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per student this year. By making good financial choices, we have also been able to put $83 million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 xml:space="preserve">aside for the implementation of initiatives set out in </w:t>
      </w:r>
      <w:proofErr w:type="gramStart"/>
      <w:r w:rsidRPr="00C77E08">
        <w:rPr>
          <w:rFonts w:eastAsiaTheme="minorHAnsi"/>
          <w:i/>
          <w:iCs/>
          <w:lang w:val="en-CA" w:eastAsia="en-US"/>
        </w:rPr>
        <w:t>When</w:t>
      </w:r>
      <w:proofErr w:type="gramEnd"/>
      <w:r w:rsidRPr="00C77E08">
        <w:rPr>
          <w:rFonts w:eastAsiaTheme="minorHAnsi"/>
          <w:i/>
          <w:iCs/>
          <w:lang w:val="en-CA" w:eastAsia="en-US"/>
        </w:rPr>
        <w:t xml:space="preserve"> kids come first.</w:t>
      </w:r>
    </w:p>
    <w:p w:rsidR="00E05BD9" w:rsidRDefault="00E05BD9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E05BD9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I want to touch briefly on what this year’s budget includes. This year, we have seen the launch of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the NB3 initiative and of literacy, math, and science initiatives in both sectors of the education</w:t>
      </w:r>
      <w:r w:rsidR="00E05BD9">
        <w:rPr>
          <w:rFonts w:eastAsiaTheme="minorHAnsi"/>
          <w:lang w:val="en-CA" w:eastAsia="en-US"/>
        </w:rPr>
        <w:t xml:space="preserve"> </w:t>
      </w:r>
      <w:r w:rsidRPr="00E05BD9">
        <w:rPr>
          <w:rFonts w:eastAsiaTheme="minorHAnsi"/>
          <w:lang w:val="en-CA" w:eastAsia="en-US"/>
        </w:rPr>
        <w:t>system.</w:t>
      </w:r>
    </w:p>
    <w:p w:rsidR="00E05BD9" w:rsidRPr="00E05BD9" w:rsidRDefault="00E05BD9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fr-FR" w:eastAsia="en-US"/>
        </w:rPr>
        <w:t>On a ciblé un chiffre pour la réussite scolaire de chaque école. Les directeurs et les directrices sont</w:t>
      </w:r>
      <w:r w:rsidR="00E05BD9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responsables d’assurer que nous réussirons à atteindre les cibles en littératie et en numératie de</w:t>
      </w:r>
      <w:r w:rsidR="00E05BD9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chaque élève dans chaque école. Ce n’est pas une question de punir les écoles, mais d’investir nos</w:t>
      </w:r>
      <w:r w:rsidR="00E05BD9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ressources dans la littératie, dans la numératie et dans les sciences. On va cibler les pierres</w:t>
      </w:r>
      <w:r w:rsidR="00E05BD9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angulaires de l’apprentissage qui peuvent prédire la réussite scolaire de tous nos enfants. On veut</w:t>
      </w:r>
      <w:r w:rsidR="00E05BD9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 xml:space="preserve">utiliser les écoles et les enseignants qui ont réussi pour aider les gens à s’améliorer. </w:t>
      </w:r>
      <w:proofErr w:type="spellStart"/>
      <w:proofErr w:type="gramStart"/>
      <w:r w:rsidRPr="00C77E08">
        <w:rPr>
          <w:rFonts w:eastAsiaTheme="minorHAnsi"/>
          <w:lang w:val="en-CA" w:eastAsia="en-US"/>
        </w:rPr>
        <w:t>Voilà</w:t>
      </w:r>
      <w:proofErr w:type="spellEnd"/>
      <w:r w:rsidRPr="00C77E08">
        <w:rPr>
          <w:rFonts w:eastAsiaTheme="minorHAnsi"/>
          <w:lang w:val="en-CA" w:eastAsia="en-US"/>
        </w:rPr>
        <w:t xml:space="preserve"> la </w:t>
      </w:r>
      <w:proofErr w:type="spellStart"/>
      <w:r w:rsidRPr="00C77E08">
        <w:rPr>
          <w:rFonts w:eastAsiaTheme="minorHAnsi"/>
          <w:lang w:val="en-CA" w:eastAsia="en-US"/>
        </w:rPr>
        <w:t>façon</w:t>
      </w:r>
      <w:proofErr w:type="spellEnd"/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 xml:space="preserve">de </w:t>
      </w:r>
      <w:proofErr w:type="spellStart"/>
      <w:r w:rsidRPr="00C77E08">
        <w:rPr>
          <w:rFonts w:eastAsiaTheme="minorHAnsi"/>
          <w:lang w:val="en-CA" w:eastAsia="en-US"/>
        </w:rPr>
        <w:t>réussir</w:t>
      </w:r>
      <w:proofErr w:type="spellEnd"/>
      <w:r w:rsidRPr="00C77E08">
        <w:rPr>
          <w:rFonts w:eastAsiaTheme="minorHAnsi"/>
          <w:lang w:val="en-CA" w:eastAsia="en-US"/>
        </w:rPr>
        <w:t>.</w:t>
      </w:r>
      <w:proofErr w:type="gramEnd"/>
    </w:p>
    <w:p w:rsidR="00E05BD9" w:rsidRPr="00C77E08" w:rsidRDefault="00E05BD9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are investing millions more in evaluations this year, restoring evaluations that were cut and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adding more. The important part of doing evaluations this way is that we should know, every few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years, not just where students are at the end of their academic year, but how much they have grown</w:t>
      </w:r>
      <w:r w:rsidR="00E05BD9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and how much they have learned. Then and only then can we see which schools are getting the best</w:t>
      </w:r>
      <w:r w:rsidR="00287B38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results and learn from our leaders. That also means that we are investing over $1 million in the early</w:t>
      </w:r>
      <w:r w:rsidR="00287B38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years evaluation to make sure that every single child is kindergarten-ready; that we are able to start</w:t>
      </w:r>
      <w:r w:rsidR="00287B38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preparing to help the students who struggle before they set foot in the kindergarten door; and that</w:t>
      </w:r>
      <w:r w:rsidR="00287B38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we know where every student starts out, so that we can see how much the system has truly made a</w:t>
      </w:r>
      <w:r w:rsidR="00287B38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difference.</w:t>
      </w:r>
    </w:p>
    <w:p w:rsidR="00287B38" w:rsidRPr="00C77E08" w:rsidRDefault="00287B3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are also investing in a new student information system that will allow us to track the students’</w:t>
      </w:r>
      <w:r w:rsidR="00287B38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 xml:space="preserve">success, so that we can see the difference each school and each teacher makes and </w:t>
      </w:r>
      <w:r w:rsidRPr="00C77E08">
        <w:rPr>
          <w:rFonts w:eastAsiaTheme="minorHAnsi"/>
          <w:lang w:val="en-CA" w:eastAsia="en-US"/>
        </w:rPr>
        <w:lastRenderedPageBreak/>
        <w:t>so that, someday,</w:t>
      </w:r>
      <w:r w:rsidR="00287B38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we can truly learn from the very best our system has to offer.</w:t>
      </w:r>
      <w:r w:rsidR="00287B38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We are continuing to invest in the Innovation Fund. By the end of this year, $10 million will have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been spent supporting and rewarding teacher innovation. That means that the very best ideas and the</w:t>
      </w:r>
      <w:r w:rsidR="00287B38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most creative teachers are going to be able to get funding up front for their ideas. We do not just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dole out money to everyone, but we reward the teachers who are doing something a little differently.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That will allow us to see more success stories like the one we saw in Dipper Harbour, where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frontline teachers were able to create family literacy resources and family literacy nights that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involved the whole family in literacy. It will mean continuing to invest in projects like the one we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have seen in Devon Middle School, where children learn and master science concepts by working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with NB Power employees on hands-on technology in alternative energy.</w:t>
      </w:r>
    </w:p>
    <w:p w:rsidR="00D331D4" w:rsidRPr="00C77E08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77E08">
        <w:rPr>
          <w:rFonts w:eastAsiaTheme="minorHAnsi"/>
          <w:lang w:val="fr-FR" w:eastAsia="en-US"/>
        </w:rPr>
        <w:t>On peut voir une continuation de l’innovation dans le comté de Kent, où les gens utilisent la</w:t>
      </w: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proofErr w:type="gramStart"/>
      <w:r w:rsidRPr="00C77E08">
        <w:rPr>
          <w:rFonts w:eastAsiaTheme="minorHAnsi"/>
          <w:lang w:val="fr-FR" w:eastAsia="en-US"/>
        </w:rPr>
        <w:t>littérature</w:t>
      </w:r>
      <w:proofErr w:type="gramEnd"/>
      <w:r w:rsidRPr="00C77E08">
        <w:rPr>
          <w:rFonts w:eastAsiaTheme="minorHAnsi"/>
          <w:lang w:val="fr-FR" w:eastAsia="en-US"/>
        </w:rPr>
        <w:t xml:space="preserve"> des collectivités autochtones. Ils ne font pas que lire les livres, ils parlent avec les auteurs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eux-mêmes. Ils font également des activités traditionnelles des Premières nations en éducation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physique pour que les élèves puissent développer un enthousiasme pour la littératie et la numératie.</w:t>
      </w:r>
    </w:p>
    <w:p w:rsidR="00D331D4" w:rsidRPr="00C77E08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That is the kind of innovation that we want to continue to support. We will continue to meet the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goals of the MacKay report. It is worth noting that, this year, we have continued to meet the staffing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levels set out by Professor MacKay in his report, and, once again, New Brunswick has led the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country with the largest increase in a generation in our student services budget for students who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struggle. Millions of dollars will be put into meeting the MacKay report targets. That means that we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have met his targets for resource teachers. That means that more students can get help more quickly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when they are looking for a plan if they struggle. We have met the targets for speech pathology,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meaning more students will get intervention help when they need it, when they struggle with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language development. We have met the targets for guidance counselors, so that students can have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one adult who helps them discover their strengths and develop a plan of learning that lets them use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things where they have a passion.</w:t>
      </w:r>
    </w:p>
    <w:p w:rsidR="00D331D4" w:rsidRPr="00C77E08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have, of course, continued to invest in restoring the trades to New Brunswick schools. We have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rolled out a series of five model schools that will use hands-on learning in order to develop the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competencies that are needed. We have also used dual enrollment and a reinvestment in trades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classes and professional development in curriculum in the middle schools, so that every child who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 xml:space="preserve">has </w:t>
      </w:r>
      <w:proofErr w:type="gramStart"/>
      <w:r w:rsidRPr="00C77E08">
        <w:rPr>
          <w:rFonts w:eastAsiaTheme="minorHAnsi"/>
          <w:lang w:val="en-CA" w:eastAsia="en-US"/>
        </w:rPr>
        <w:t>a strength</w:t>
      </w:r>
      <w:proofErr w:type="gramEnd"/>
      <w:r w:rsidRPr="00C77E08">
        <w:rPr>
          <w:rFonts w:eastAsiaTheme="minorHAnsi"/>
          <w:lang w:val="en-CA" w:eastAsia="en-US"/>
        </w:rPr>
        <w:t xml:space="preserve"> and a passion in the trades can follow through.</w:t>
      </w:r>
    </w:p>
    <w:p w:rsid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77E08">
        <w:rPr>
          <w:rFonts w:eastAsiaTheme="minorHAnsi"/>
          <w:lang w:val="fr-FR" w:eastAsia="en-US"/>
        </w:rPr>
        <w:t>Du côté francophone, nous voulons également ajouter le financement pour aider les gens qui veulent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suivre des cours de métiers et développer leurs compétences. Nous avons travaillé avec les collèges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communautaires et nous avons investi dans le développement professionnel, ce qui assurera que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 xml:space="preserve">chaque élève qui veut suivre un cours de métiers ou de </w:t>
      </w:r>
      <w:proofErr w:type="spellStart"/>
      <w:r w:rsidRPr="00C77E08">
        <w:rPr>
          <w:rFonts w:eastAsiaTheme="minorHAnsi"/>
          <w:lang w:val="fr-FR" w:eastAsia="en-US"/>
        </w:rPr>
        <w:t>main-d’oeuvre</w:t>
      </w:r>
      <w:proofErr w:type="spellEnd"/>
      <w:r w:rsidRPr="00C77E08">
        <w:rPr>
          <w:rFonts w:eastAsiaTheme="minorHAnsi"/>
          <w:lang w:val="fr-FR" w:eastAsia="en-US"/>
        </w:rPr>
        <w:t xml:space="preserve"> pourra développer ses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compétences au cours de sa carrière académique.</w:t>
      </w:r>
    </w:p>
    <w:p w:rsid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331D4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have added more enrichment time.</w:t>
      </w:r>
      <w:r w:rsidR="00D331D4">
        <w:rPr>
          <w:rFonts w:eastAsiaTheme="minorHAnsi"/>
          <w:lang w:val="en-CA" w:eastAsia="en-US"/>
        </w:rPr>
        <w:t xml:space="preserve"> </w:t>
      </w:r>
    </w:p>
    <w:p w:rsid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77E08">
        <w:rPr>
          <w:rFonts w:eastAsiaTheme="minorHAnsi"/>
          <w:lang w:val="fr-FR" w:eastAsia="en-US"/>
        </w:rPr>
        <w:t>On continue d’avoir des stratégies et on a ajouté des ressources pour les élèves doués.</w:t>
      </w:r>
    </w:p>
    <w:p w:rsid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have added enrichment time. Now, every child who needs an additional challenge, who works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 little ahead of the curve, will have a mentor and will have time to develop project-based learning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that he or she can use in other classes. We will continue to work toward the day when all children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who need an extra challenge will have a mentor who works with them and an individual learning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plan that will help them meet with success.</w:t>
      </w:r>
    </w:p>
    <w:p w:rsid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have restored physical education, art, and music by adding more specialists and more</w:t>
      </w:r>
    </w:p>
    <w:p w:rsidR="00D331D4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proofErr w:type="gramStart"/>
      <w:r w:rsidRPr="00C77E08">
        <w:rPr>
          <w:rFonts w:eastAsiaTheme="minorHAnsi"/>
          <w:lang w:val="en-CA" w:eastAsia="en-US"/>
        </w:rPr>
        <w:t>professional</w:t>
      </w:r>
      <w:proofErr w:type="gramEnd"/>
      <w:r w:rsidRPr="00C77E08">
        <w:rPr>
          <w:rFonts w:eastAsiaTheme="minorHAnsi"/>
          <w:lang w:val="en-CA" w:eastAsia="en-US"/>
        </w:rPr>
        <w:t xml:space="preserve"> development, so that we can finally celebrate the strengths of children in these areas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and create co-curriculum learning opportunities. When you have specialists, you can actually use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music combined with literature, and you can actually use physical education combined with other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areas of discipline to create novel learning opportunities. We have also added guidance counselors.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We will spend $3.3 million to continue our community schools project. In communities, rural and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urban, we are seeing tremendous community partnerships by allowing our educators to work with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those in the community who also have something to bring. In Saint John, we have seen an intercity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school that once struggled. We have seen community mentors come to work with kids and give them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 sense that somebody cares about their future. In Woodstock, we are seeing individuals with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something to offer in everything from environmental science to technology. These people are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working with kids who may have an academic interest beyond the classroom, helping the teacher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find things that engage them as readers, writers, and learners in the areas that interest them.</w:t>
      </w:r>
      <w:r w:rsidR="00D331D4">
        <w:rPr>
          <w:rFonts w:eastAsiaTheme="minorHAnsi"/>
          <w:lang w:val="en-CA" w:eastAsia="en-US"/>
        </w:rPr>
        <w:t xml:space="preserve"> </w:t>
      </w:r>
    </w:p>
    <w:p w:rsid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D331D4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77E08">
        <w:rPr>
          <w:rFonts w:eastAsiaTheme="minorHAnsi"/>
          <w:lang w:val="fr-FR" w:eastAsia="en-US"/>
        </w:rPr>
        <w:t>Je viens de visiter Cocagne, où on développe un modèle entrepreneurial. Chaque enfant lance une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micro-entreprise. Les élèves peuvent faire appel à plus de 30 compagnies dans la région de Cocagne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pour développer leur propre micro-entreprise. Ces entrepreneurs servent également de mentors dans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la collectivité. Ils travaillent avec les enseignants pour s’assurer que l’élève puisse lire, écrire et faire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des mathématiques au sein de sa micro-entreprise afin de développer une passion non seulement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pour les affaires mais également pour les habilités de littératie et numératie qui aident à former un</w:t>
      </w:r>
      <w:r w:rsidR="00D331D4">
        <w:rPr>
          <w:rFonts w:eastAsiaTheme="minorHAnsi"/>
          <w:lang w:val="fr-FR" w:eastAsia="en-US"/>
        </w:rPr>
        <w:t xml:space="preserve"> </w:t>
      </w:r>
      <w:r w:rsidRPr="00D331D4">
        <w:rPr>
          <w:rFonts w:eastAsiaTheme="minorHAnsi"/>
          <w:lang w:val="fr-FR" w:eastAsia="en-US"/>
        </w:rPr>
        <w:t>entrepreneur.</w:t>
      </w:r>
    </w:p>
    <w:p w:rsidR="00D331D4" w:rsidRP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will continue to invest in student feedback loops that will help us to have quicker responses to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bullying and quicker responses when students are bored or are not engaged in their classes. We will,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of course, continue to develop our universal French second language curriculum. For too long, we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have heard those voices of the past saying that it is okay to segregate kids on ability, that it is okay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to declare learning a second language off-limits for too many, as long as you put in more resources.</w:t>
      </w:r>
    </w:p>
    <w:p w:rsidR="00D331D4" w:rsidRPr="00C77E08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Ten years ago, we saw the first report from experts who said that it was time to stop separating every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kid who struggles from the mainstream and putting these kids in classes where they cannot learn.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The minister at the time, Elvy Robichaud, said that it was okay, that they would just put in more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resources. Ten years later, our literacy rates are still the worst in Canada, and we are still leaving too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many kids behind.</w:t>
      </w:r>
    </w:p>
    <w:p w:rsidR="00D331D4" w:rsidRPr="00C77E08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D331D4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In the MacKay report, we saw very clear directions saying that inclusive education was being hurt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by the practice of having one stream for kids who were doing well and another for those who were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struggling. In the words of Professor MacKay, those children were not only failing to get the literacy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skills and the help that they needed, they were also ruining any chance that they had of becoming</w:t>
      </w:r>
      <w:r w:rsidR="00D331D4">
        <w:rPr>
          <w:rFonts w:eastAsiaTheme="minorHAnsi"/>
          <w:lang w:val="en-CA" w:eastAsia="en-US"/>
        </w:rPr>
        <w:t xml:space="preserve"> </w:t>
      </w:r>
      <w:r w:rsidRPr="00D331D4">
        <w:rPr>
          <w:rFonts w:eastAsiaTheme="minorHAnsi"/>
          <w:lang w:val="en-CA" w:eastAsia="en-US"/>
        </w:rPr>
        <w:t>bilingual.</w:t>
      </w:r>
    </w:p>
    <w:p w:rsidR="00D331D4" w:rsidRP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D331D4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77E08">
        <w:rPr>
          <w:rFonts w:eastAsiaTheme="minorHAnsi"/>
          <w:lang w:val="fr-FR" w:eastAsia="en-US"/>
        </w:rPr>
        <w:t>On veut un Nouveau-Brunswick où la grande majorité des anglophones peuvent avoir le privilège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et la joie d’être bilingue. On ne peut pas atteindre un certain niveau de bilinguisme si on donne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l’occasion de vraiment devenir bilingue à seulement 20 % des élèves. C’est pourquoi on est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maintenant la seule province au Canada à bâtir un système universel de français langue seconde pour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les anglophones. Le Nouveau-Brunswick est maintenant prêt à être une province où tout le monde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doit réussir et peut réussir à devenir bilingue.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C’est un fait que, quand le système ségrégé et optionnel de français langue seconde a été créé, ce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n’était pas une décision pédagogique mais un compromis politique. C’était seulement une option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parce que tout le monde n’était pas prêt à accepter le bilinguisme. Dans le Nouveau-Brunswick où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j’ai grandi, nous sommes maintenant une province prête pour le bilinguisme universel.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Les pays qui ont les plus grands taux de bilinguisme et de trilinguisme en Europe utilisent un</w:t>
      </w:r>
      <w:r w:rsidR="00D331D4">
        <w:rPr>
          <w:rFonts w:eastAsiaTheme="minorHAnsi"/>
          <w:lang w:val="fr-FR" w:eastAsia="en-US"/>
        </w:rPr>
        <w:t xml:space="preserve"> </w:t>
      </w:r>
      <w:r w:rsidRPr="00C77E08">
        <w:rPr>
          <w:rFonts w:eastAsiaTheme="minorHAnsi"/>
          <w:lang w:val="fr-FR" w:eastAsia="en-US"/>
        </w:rPr>
        <w:t>système universel et non un système ségrégé où les enfants en difficulté n’ont pas l’occasion de</w:t>
      </w:r>
      <w:r w:rsidR="00D331D4">
        <w:rPr>
          <w:rFonts w:eastAsiaTheme="minorHAnsi"/>
          <w:lang w:val="fr-FR" w:eastAsia="en-US"/>
        </w:rPr>
        <w:t xml:space="preserve"> </w:t>
      </w:r>
      <w:r w:rsidRPr="00D331D4">
        <w:rPr>
          <w:rFonts w:eastAsiaTheme="minorHAnsi"/>
          <w:lang w:val="fr-FR" w:eastAsia="en-US"/>
        </w:rPr>
        <w:t>devenir bilingue.</w:t>
      </w:r>
    </w:p>
    <w:p w:rsidR="00D331D4" w:rsidRP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know that most countries use a universal system and have higher bilingualism rates. In the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seventies, we created an optional system, because many Anglophones were not ready to accept that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French would be a requirement. In the New Brunswick in which I was privileged to grow up, we are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ready to have a universal bilingual program. We are ready to say that French should be taught to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every single Anglophone student. We are ready to insist on eight years of high-quality Frenc</w:t>
      </w:r>
      <w:r w:rsidR="00D331D4">
        <w:rPr>
          <w:rFonts w:eastAsiaTheme="minorHAnsi"/>
          <w:lang w:val="en-CA" w:eastAsia="en-US"/>
        </w:rPr>
        <w:t xml:space="preserve">h </w:t>
      </w:r>
      <w:r w:rsidRPr="00C77E08">
        <w:rPr>
          <w:rFonts w:eastAsiaTheme="minorHAnsi"/>
          <w:lang w:val="en-CA" w:eastAsia="en-US"/>
        </w:rPr>
        <w:t>instruction for everyone, and we are finally ready to say that we should not leave struggling children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out of the opportunity to become bilingual. Learning French in New Brunswick should be as natural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for an Anglophone as math, science, history, and physical education. We should offer it to everyone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I would say this to those who would have us go back to a time when we would drop every kid who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struggled, and they would never become bilingual: We should never go back to accepting anything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less than full, universal bilingual programs in New Brunswick.</w:t>
      </w:r>
    </w:p>
    <w:p w:rsidR="00D331D4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have also targeted other opportunities to address traditional areas where we have fallen behind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other provinces. We know that, for too long, there has been an unacceptable literacy gap between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Aboriginal and non-Aboriginal New Brunswickers. That was why we were proud and privileged to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sign an agreement with all 15 First Nations Chiefs to target $40 million for First Nations literacy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skills, language skills, and early childhood and transition to kindergarten programs, as well as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adding tough accountability measures to make sure that districts attack the unacceptably high rate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of dropouts among First Nations students in New Brunswick. In a New Brunswick where we dream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of universal literacy, we cannot leave any group behind.</w:t>
      </w:r>
    </w:p>
    <w:p w:rsidR="00D331D4" w:rsidRPr="00C77E08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We have also begun the process of curriculum reform, making sure that we target what is truly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important in literacy, numeracy, and science. A curriculum should not be an exercise where a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teacher rams through a long list of facts. We should learn from the international example—from the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places that give their teachers the most freedom to teach, that get children to develop the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competencies that will allow them to learn throughout their lives. These are the jurisdictions that do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best.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I am very proud of, and very grateful to, the people in the department who have worked very hard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 xml:space="preserve">on developing </w:t>
      </w:r>
      <w:proofErr w:type="gramStart"/>
      <w:r w:rsidRPr="00C77E08">
        <w:rPr>
          <w:rFonts w:eastAsiaTheme="minorHAnsi"/>
          <w:i/>
          <w:iCs/>
          <w:lang w:val="en-CA" w:eastAsia="en-US"/>
        </w:rPr>
        <w:t>When</w:t>
      </w:r>
      <w:proofErr w:type="gramEnd"/>
      <w:r w:rsidRPr="00C77E08">
        <w:rPr>
          <w:rFonts w:eastAsiaTheme="minorHAnsi"/>
          <w:i/>
          <w:iCs/>
          <w:lang w:val="en-CA" w:eastAsia="en-US"/>
        </w:rPr>
        <w:t xml:space="preserve"> kids come first </w:t>
      </w:r>
      <w:r w:rsidRPr="00C77E08">
        <w:rPr>
          <w:rFonts w:eastAsiaTheme="minorHAnsi"/>
          <w:lang w:val="en-CA" w:eastAsia="en-US"/>
        </w:rPr>
        <w:t>and who have supported this government in what is an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ambitious agenda.</w:t>
      </w:r>
    </w:p>
    <w:p w:rsidR="00D331D4" w:rsidRPr="00C77E08" w:rsidRDefault="00D331D4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77E08" w:rsidRPr="00C77E08" w:rsidRDefault="00C77E08" w:rsidP="00C77E0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C77E08">
        <w:rPr>
          <w:rFonts w:eastAsiaTheme="minorHAnsi"/>
          <w:lang w:val="en-CA" w:eastAsia="en-US"/>
        </w:rPr>
        <w:t>Sometimes, we talk so much about what is wrong with education that we fail to celebrate what is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right. It was gratifying for us when the Canadian Council on Learning published its biannual review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of learning in Canada. For years, New Brunswick has trailed behind other provinces, near the bottom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in terms of learning, in this and other international assessments. We know that if you start in last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place, at some point, you have to start running faster than the others. That was why we were so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happy to see that, over the past two years, we obtained the best results New Brunswick had ever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 xml:space="preserve">obtained on the Canadian Council on </w:t>
      </w:r>
      <w:proofErr w:type="gramStart"/>
      <w:r w:rsidRPr="00C77E08">
        <w:rPr>
          <w:rFonts w:eastAsiaTheme="minorHAnsi"/>
          <w:lang w:val="en-CA" w:eastAsia="en-US"/>
        </w:rPr>
        <w:t>Learning</w:t>
      </w:r>
      <w:proofErr w:type="gramEnd"/>
      <w:r w:rsidRPr="00C77E08">
        <w:rPr>
          <w:rFonts w:eastAsiaTheme="minorHAnsi"/>
          <w:lang w:val="en-CA" w:eastAsia="en-US"/>
        </w:rPr>
        <w:t xml:space="preserve"> index. We had the third fastest rate of learning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growth in Canada, and that is worth celebrating.</w:t>
      </w:r>
    </w:p>
    <w:p w:rsidR="00C77E08" w:rsidRPr="00C77E08" w:rsidRDefault="00C77E08" w:rsidP="00D331D4">
      <w:pPr>
        <w:autoSpaceDE w:val="0"/>
        <w:autoSpaceDN w:val="0"/>
        <w:adjustRightInd w:val="0"/>
        <w:jc w:val="both"/>
        <w:rPr>
          <w:lang w:val="en-CA"/>
        </w:rPr>
      </w:pPr>
      <w:r w:rsidRPr="00C77E08">
        <w:rPr>
          <w:rFonts w:eastAsiaTheme="minorHAnsi"/>
          <w:lang w:val="en-CA" w:eastAsia="en-US"/>
        </w:rPr>
        <w:t>I know that this is a time of very quick changes, but, indeed, I would rather have passionate debate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than benign indifference. I know and respect the members of the opposition, and I welcome their</w:t>
      </w:r>
      <w:r w:rsidR="00D331D4">
        <w:rPr>
          <w:rFonts w:eastAsiaTheme="minorHAnsi"/>
          <w:lang w:val="en-CA" w:eastAsia="en-US"/>
        </w:rPr>
        <w:t xml:space="preserve"> </w:t>
      </w:r>
      <w:r w:rsidRPr="00C77E08">
        <w:rPr>
          <w:rFonts w:eastAsiaTheme="minorHAnsi"/>
          <w:lang w:val="en-CA" w:eastAsia="en-US"/>
        </w:rPr>
        <w:t>questions. We look forward to a good, passionate debate about education.</w:t>
      </w:r>
      <w:r w:rsidR="00D331D4">
        <w:rPr>
          <w:rFonts w:eastAsiaTheme="minorHAnsi"/>
          <w:lang w:val="en-CA" w:eastAsia="en-US"/>
        </w:rPr>
        <w:t xml:space="preserve"> </w:t>
      </w:r>
    </w:p>
    <w:sectPr w:rsidR="00C77E08" w:rsidRPr="00C77E08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C77E08"/>
    <w:rsid w:val="00287B38"/>
    <w:rsid w:val="004B2C6A"/>
    <w:rsid w:val="004E271B"/>
    <w:rsid w:val="00761221"/>
    <w:rsid w:val="00C77E08"/>
    <w:rsid w:val="00D331D4"/>
    <w:rsid w:val="00D6219F"/>
    <w:rsid w:val="00E0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08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C77E08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C77E08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2873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2013-03-28T17:31:00Z</dcterms:created>
  <dcterms:modified xsi:type="dcterms:W3CDTF">2013-03-28T17:49:00Z</dcterms:modified>
</cp:coreProperties>
</file>