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70"/>
        <w:gridCol w:w="851"/>
        <w:gridCol w:w="1558"/>
        <w:gridCol w:w="1120"/>
        <w:gridCol w:w="1151"/>
        <w:gridCol w:w="1555"/>
        <w:gridCol w:w="1244"/>
      </w:tblGrid>
      <w:tr w:rsidR="00747140" w:rsidRPr="00CE15FF" w:rsidTr="00747140">
        <w:trPr>
          <w:jc w:val="center"/>
        </w:trPr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747140" w:rsidRPr="00CE15FF" w:rsidTr="00747140">
        <w:trPr>
          <w:jc w:val="center"/>
        </w:trPr>
        <w:tc>
          <w:tcPr>
            <w:tcW w:w="11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Manitoba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2" w:after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15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Remarques préliminaires à l’étude des crédits du Ministère de l’Éducation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A947E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 avril 1970</w:t>
            </w:r>
          </w:p>
        </w:tc>
        <w:tc>
          <w:tcPr>
            <w:tcW w:w="11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 xml:space="preserve">Saul Miller 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Minister of Education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140" w:rsidRPr="00CE15FF" w:rsidRDefault="00747140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CE15FF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NPD</w:t>
            </w:r>
          </w:p>
        </w:tc>
      </w:tr>
    </w:tbl>
    <w:p w:rsidR="002B448A" w:rsidRPr="00CE15FF" w:rsidRDefault="00814610">
      <w:pPr>
        <w:rPr>
          <w:rFonts w:ascii="Times New Roman" w:hAnsi="Times New Roman" w:cs="Times New Roman"/>
        </w:rPr>
      </w:pP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Thank you. Mr.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Chairman, by my calculations we have about 54 hours left and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 wouldn't be surprised if this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ended the estimates for this year.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All on education.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Mr. Chairman, before I go into my opening remarks I wan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t to acknowledge a real debt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gratitude that I feel to my Deputy Minister, the Assistant Depu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ty Ministers of the Department, the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various branch heads, as a matter of fact all members of my staff, wh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o without their support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 could never have ach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ieved in the few months that we’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ve b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een in office anything like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knowledge that I've tried to achieve. It is a large department and certainly without their backup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would simply have been drowned and swallowed up by the she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er volume of the work that this department undertakes.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Mr. Chairman, as the honourable members are aware, t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he department is much too large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really to discuss in terms of making many really meaningful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generalizations. One can point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here and there to pertinent factors which have made change nec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essary in one or two areas, but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by and large one must deal with the particular areas thems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elves in some depth in order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acquire a proper understanding of why changes have become necessary; for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example, how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dynamics of social change sometimes affect programs.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major portion of the over $11 million increase in t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he department's estimates are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reflection of the increasing educational needs of an increasi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ngly complex industrial age. 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the other hand there is another kind of change involved, and that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is the qualitative, qualitative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nature, since it involves not simply an extension of old progr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ams and attempting to cope with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new circumstances, but rather the adoption of new priorities in ce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rtain previously undeveloped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areas of departmental policy, and it is in this realm of qualitat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ive change that our innovations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occur.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It is also within this framework of change that certain gene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ralities may be permitted since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it is here that the effects of a different kind of outlook might be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best observed. In a department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 large as mine it would be nonsense to say that a new go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vernment and a new Minister can </w:t>
      </w:r>
      <w:proofErr w:type="spellStart"/>
      <w:r w:rsidRPr="00CE15FF">
        <w:rPr>
          <w:rFonts w:ascii="Times New Roman" w:hAnsi="Times New Roman" w:cs="Times New Roman"/>
          <w:sz w:val="24"/>
          <w:szCs w:val="24"/>
          <w:lang w:val="en-CA"/>
        </w:rPr>
        <w:t>effect</w:t>
      </w:r>
      <w:proofErr w:type="spell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the department's doings on a wholesale basis within a few months; nor would that be necessa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rily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 desirable goal. I am by nature a cautious individual and I don't rush in and change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things around till I am satisfied that a change is desirable and it will achieve something. In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any case, the greater portion of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lastRenderedPageBreak/>
        <w:t>expenditures must be geared towar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ds the maintenance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programs which affect the lives of so many Manitobans on a day to day basis.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We can emphasize certain aspects of those programs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and we can de-emphasize others;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we can tinker with some of them mechanically so as to provide more efficie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nt programmatic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processes; but our basic responsibility in this regard is to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administer existing programs as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they effect and in turn are affected by the requirements of a gr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owing1developing Manitoba. That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Universities Grants Commission will have an increased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allocation of $6 million is an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example of our response both to the demands of more Manitoban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s in seeking the best education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possible and to the requirements incumbent upon us to facilitat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 those provincial institutions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whose growth may be seen to parallel in so many ways the development of our province.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We can make no bones about accepting the necessity for such an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increase in those expenditures, recognizing that they are al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 investment that will yield multiple benefits to the province.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At the same time, we also recognize and accept the necessity to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provide the opportunity to take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proper advantage of the availability of educational service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s. For this reason members will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note an increase of over a million dollars to student aid. The determ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ination of this government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do everything within its power to make it possible for more stud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ents to have access to whatever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level of education is suitable to their abilities and to their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interests was demonstrated last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fall when immediate steps were taken to meet a need arising fro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m inadequate funds by including at that time $75,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 for student aid purposes in our supplementary estimates.</w:t>
      </w:r>
    </w:p>
    <w:p w:rsidR="007E78C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A few figures might help to illustrate the way this y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ear's increased funds have been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tentatively allocated for certain of our major support area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s. Our secondary bursaries have been increased by $20,000, or by 10.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3 percent over last year;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$620,000 has been added to our Un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iversity Undergraduate Bursar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ies Fund, or an increase of 79.7 percent over last year;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Post Graduate Bursaries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Fund has been increased by $15,000, that is by 50 percent;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Technical Technology Bursaries have been boosted by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$166,000 or by 123.4 percent. 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shoul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>d like also to draw to the attention o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 the hono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urable members to certain other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changes which I am sure will be of interest and will meet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with their approval. Within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Student Aid Program for this year provision has been made spec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ifically for adults, or what 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known as mature students. Formerly, students at our Winnipeg Health Education Centre were assisted from the general monie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s allocated to secondary school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bursaries. This year a specific allocation has been made for 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this purpose. More significant,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however, is the provision of some $145, 000 in the estimate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s for mature students. These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monies are intended to provide a measure of assistance fo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r adults who are registered as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mature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lastRenderedPageBreak/>
        <w:t>students at one of our universities and are attempting to establ</w:t>
      </w:r>
      <w:r w:rsidR="007E78CF">
        <w:rPr>
          <w:rFonts w:ascii="Times New Roman" w:hAnsi="Times New Roman" w:cs="Times New Roman"/>
          <w:sz w:val="24"/>
          <w:szCs w:val="24"/>
          <w:lang w:val="en-CA"/>
        </w:rPr>
        <w:t xml:space="preserve">ish the necessary credits to be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accepted as full time students. Previously, no bursary support w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as available for these students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until they had been accepted for· full time study.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Also under student aid, Mr. Chairman, there are allocati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ons of $100,000- $75,000 to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student summer employment program and $25, 000 to a sum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mer enrichment program, both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which are closely related by design. All members here are 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aware of the growing problem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student summer employment. Our labour market is not geare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d to accept the vast numbers of </w:t>
      </w:r>
      <w:proofErr w:type="spellStart"/>
      <w:r w:rsidRPr="00CE15FF">
        <w:rPr>
          <w:rFonts w:ascii="Times New Roman" w:hAnsi="Times New Roman" w:cs="Times New Roman"/>
          <w:sz w:val="24"/>
          <w:szCs w:val="24"/>
          <w:lang w:val="en-CA"/>
        </w:rPr>
        <w:t>employables</w:t>
      </w:r>
      <w:proofErr w:type="spell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for such short 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>periods of time. At the same tim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e, it 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is our belief that the creation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jobs with public funds just for the sake of making work is not n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ecessarily the best solution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problem. We have therefore attempted to set up an employ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ment program which will be most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beneficial to both students in terms of the degree of their financ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ial needs, their qualifications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their interest, and of course the public with whose funds they are being employed.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On the other hand, there's also been set up a student p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lacement office for referral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summer positions available in mainline departments and Crown cor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porations, as well as operating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as a communications clearing house for the assembling 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of relevant data regarding past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present government summer employment practices. Hopefu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lly, we will thereby be able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assure in future an equitable distribution of government j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obs based on a uniform criteria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utility, because in the past it seems such jobs were given out on a somewhat cat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ch-as-catch-can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basis. We are adhering to the notion of public responsibility by s</w:t>
      </w:r>
      <w:r w:rsidR="003C0452">
        <w:rPr>
          <w:rFonts w:ascii="Times New Roman" w:hAnsi="Times New Roman" w:cs="Times New Roman"/>
          <w:sz w:val="24"/>
          <w:szCs w:val="24"/>
          <w:lang w:val="en-CA"/>
        </w:rPr>
        <w:t xml:space="preserve">eeing the jobs will be provided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the greatest extent possible on a confirmed need qualificatio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n basis. The public dollar will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thus go furthest in terms of aiding those who most require fina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ncial support to continue their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education.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For this year the placement office will act more as a comm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unications clearing house than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 job referral agency. For one thing, there are numbers of stud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ents counting on jobs they held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last summer who have budgeted for their next years of studie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s according to their reasonable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expectations of being able to come back to their jobs. At the sam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e time it should be pointed out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that there are jobs in certain parts of Manitoba for which it would not be feasible to 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force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applicants to go through some agency in Winnipeg or other m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ajor centre. All such positions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will be handled as before, using whatever means for hiring in tho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se locations which are feasible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 the various line departments concerned. In any case, the p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lacement office will be going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into full operation on April 15th, and that is today I believe.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There are two types of jobs involved in the program we env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isage; that is jobs through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mainline departments which are not budgeted for lack of funds in the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 preliminary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estimates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but which are still judged to be needed and of value for the departments to have done for them,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jobs through our summer enrichment program. The latter job creations, we feel, may be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measured in terms of direct social value. Indeed, the membe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rs 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I hope will be interested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know that the program was originally conceived in terms of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 the recognized need for summer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employment, but the emphasis has fallen now upon the social service aspect of the program.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government recognizes that the barriers preventing th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e individual fulfillment in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education system are more than merely financial. And this applies to all levels of education.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Despite a free primary and secondary educational system, not </w:t>
      </w:r>
      <w:r w:rsidR="00B825C2">
        <w:rPr>
          <w:rFonts w:ascii="Times New Roman" w:hAnsi="Times New Roman" w:cs="Times New Roman"/>
          <w:sz w:val="24"/>
          <w:szCs w:val="24"/>
          <w:lang w:val="en-CA"/>
        </w:rPr>
        <w:t xml:space="preserve">all social classes of our young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people profit co-equally, and ultimately they do not have real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equality of opportunity either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towards future educational endeavours or in terms of emp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loyment prospects. Research has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shown that the problem begins at the intermediate level with stude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nts who do not have the benefit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meaningful extra-curricular activities related to their in-school educational experiences.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children suffering most from these imperfections are tho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se from homes with a low income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where there is too often a lack of interest, or motivation somet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imes, towards the supplementing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public school education. This deprivation of an important asp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ect of education relegates many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our young to positions outside the mainstream of our society at a very early age.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So the allocation for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the programs, which is the $25,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I referred to previously, is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program which will be under the directorship of Mr. Victor </w:t>
      </w:r>
      <w:proofErr w:type="spellStart"/>
      <w:r w:rsidRPr="00CE15FF">
        <w:rPr>
          <w:rFonts w:ascii="Times New Roman" w:hAnsi="Times New Roman" w:cs="Times New Roman"/>
          <w:sz w:val="24"/>
          <w:szCs w:val="24"/>
          <w:lang w:val="en-CA"/>
        </w:rPr>
        <w:t>Pru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den</w:t>
      </w:r>
      <w:proofErr w:type="spellEnd"/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. It will be run at Frontier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Collegiate at Cranberry Portage over a period extending from t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he beginning of July to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middle of August. There are to be two sessions eac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h. Now this may change somewhat but as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today this is what it looks like, two sessions each, accommodating about 150 children in the 10 to 12 year age bracket. Initially, the program is being run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on an experimental basis and children from c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ertain designat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ed areas which are now serviced by Winni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peg and Frontier School Divisions will be taken on.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w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e</w:t>
      </w:r>
      <w:proofErr w:type="gramEnd"/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hope to be able to extend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program and enlarge its scope over future summers. For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the present, its utility may be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measured in terms of a fuller utilization of existing educational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facilities and the provision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approximately 25 meaningful summer jobs providing not only income for univers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ity students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but a vital learning experience to students employed in the pr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ogram, as well of course as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redeeming value, social value of such a program. All told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then, Mr. Chairman, our student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placement program should be able to provide a minimum of be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tween 75 to 100 jobs which will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have been provided out of the direct budget allotment.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Members have already heard of the $1.2 million further ava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ilable for student aid purposes admi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nistered through the Canada Assistance Act by my colle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ague the Minister of Health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Social Development. Members should further .note this is an indication of this government's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attitude towards the question of educational support, and that in fact education is a very closely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tied-in aspect of social development and support of students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should be fostered on the same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basis as other aspects of social development, that is to be geared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towards aiding the fulfillment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of the individuals in our society. Support to the individual in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need who possesses the capacity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and the desire to better himself through education should not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be viewed as attaching a stigma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to that individual, but rather as a duty upon government and the 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public in aiding the process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fulfillment and hence the well-being of the individual.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In this regard as well, the inclusion of the summer 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nrichment program I referred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under student aid should in no way be viewed as accidental or irre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gular. Rather, it is indicative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the recognition on our part that the conception of the purpose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of student aid must be widened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include the consideration of factors other than the purely financi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al which affect the educational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progress of our citizens. There are many young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 members of our society who are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handicapped because of barriers relating to cultural motivationa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l factors. Although equality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op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>portunity has been defined in te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rms of similarity of treatment a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s exemplified in our elementary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secondary schools, that is the education by the provision of f</w:t>
      </w:r>
      <w:r w:rsidR="00A97EE0">
        <w:rPr>
          <w:rFonts w:ascii="Times New Roman" w:hAnsi="Times New Roman" w:cs="Times New Roman"/>
          <w:sz w:val="24"/>
          <w:szCs w:val="24"/>
          <w:lang w:val="en-CA"/>
        </w:rPr>
        <w:t xml:space="preserve">ree texts and the absence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fees, the insufficiency of this definition may be seen as reflect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ed in the dramatic dropout rate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native pupils for example at the secondary level. To attempt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 to deal with such problems, an allocation of $250,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 has been made in our student aid pro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gram for special pilot projects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designed to encourage at first a small, but hopefully a potentially lar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ge number of the disadvantaged,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compete satisfactorily within our educational system.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By way of example of one such special project, it will be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 designed to encourage northern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native people who wish to live in and serve their community to 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enter teacher training programs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at our universities. The rationale in part of course is to p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rovide more native teachers for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predominantly native communities. Such teachers versed in thei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r own native tongue, conversant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with native culture and the local living conditions, would obvio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usly be best suited to motivate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the students in those areas. The obvious and well-intentioned answer to this problem 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might be,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let's provide more bursaries to encourage native people's entr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ance into the teaching programs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just leave it at that. But no matter how well-intentioned that r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esponse it is insufficient,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experience has shown that in providing solutions to certain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 fundamental problems more must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 done.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Again I must repeat the problem is more than simply finan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cial. It rarely occurs to us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follow up the argument with an analysis of what in fact happens to 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many northern native people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when they go to our </w:t>
      </w:r>
      <w:proofErr w:type="spellStart"/>
      <w:r w:rsidRPr="00CE15FF">
        <w:rPr>
          <w:rFonts w:ascii="Times New Roman" w:hAnsi="Times New Roman" w:cs="Times New Roman"/>
          <w:sz w:val="24"/>
          <w:szCs w:val="24"/>
          <w:lang w:val="en-CA"/>
        </w:rPr>
        <w:t>post sec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>ondary</w:t>
      </w:r>
      <w:proofErr w:type="spellEnd"/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 institutions. Research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 s</w:t>
      </w:r>
      <w:r w:rsidR="00296857">
        <w:rPr>
          <w:rFonts w:ascii="Times New Roman" w:hAnsi="Times New Roman" w:cs="Times New Roman"/>
          <w:sz w:val="24"/>
          <w:szCs w:val="24"/>
          <w:lang w:val="en-CA"/>
        </w:rPr>
        <w:t xml:space="preserve">hown that they drop out despite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all the financial support possible in totally disproportionate numbers to their school fellows.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Now why is this? I put these questions, which in themselves I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think should provide the answer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the members. How would you or I react to be placed in a new locale in an environment with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such mechanical paraphernalia as traffic lights, electric stov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es, things which are completely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foreign and strange to us, all of which we've never perhaps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seen in our lives. How would we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react if we were lodged in a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dwelling.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house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with almost no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thing in common with our fellow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boarders and asked to fend for ourselves. Therefore, one of the projects will be gea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red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dealing with this particular problem. Proper environmental aid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will be provided to attempt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assure as smooth a transition as possible for teaching st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udents coming from our northern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points. Now such are the many aspects of a general student aid pro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gram as defined in this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government's terms, Mr. Chairman.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would like now to turn to the important area of curri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culum development which, as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honourable members are aware, are the focus of considerable attention by educators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everywhere. A number of area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>s are undergoing further revi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sion as part of the constant updating process, and this is one o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f the factors that we have to -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recognize, that education never stays or stands still, there is the constant chang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e and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constant change is essential. So that we have witnessed the great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er involvement of an increasing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number of teaching personnel and programs and the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evaluation of programs. We move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away from prescriptively-styled curriculum publications to those ch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aracterized by greater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breadth and flexibility, the authorization of a wider range of textual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materials and the encouragement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experimentation in new approaches and in ne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w methods. Mr. Chairman, as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decade of the '60's was important for curriculum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growth, that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of 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he '70's will have even greater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significance. The pace of educational change is so swift that i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t is impossible to identify all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those elements that will during the course of the next ten yea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rs impinge upon the educational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system in Manitoba. At the same time there are certain direct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ions that are evident and these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 would like to discuss briefly.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Initially, I wish to draw to the attention of the honoura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>ble members certain basic prin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ciples relative to curriculum responsibility that will be deve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loped and that will represent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new departure. Specifically, it is intended to recognize the compl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exity of the educational system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through the allocation of clear and precise responsib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ility in the area of curriculum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decision-making, so that there is a clear understanding of the re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spective roles of the province,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school system and the teachers, so as to form an effective three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-way partnership in the overall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curriculum design. The essential purpose underlying the decision-making rationale 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hat 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being conceived is the development of a framework that will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permit and encourage sound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realistic detailed planning of curriculum and instruction at the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local level without sacrificing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those elements of provincial coordination and service that have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supplied the foundation of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educational system. And it will be equally necessary in the futu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re, as it has been in the past,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to provide the necessary articulation within the system.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development of such a partnership, Mr. Chairman, in a more practi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cal and realistic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way than has hitherto been possible is a logical outgrowth of the recognition of the fact that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curriculum may no longer be regarded as a fixed body of content presented according to some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predetermined pattern, but rather as a variety of e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xperiences geared more specifically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individual student interests. Thus the emphasis on learning </w:t>
      </w:r>
      <w:r w:rsidR="00731969">
        <w:rPr>
          <w:rFonts w:ascii="Times New Roman" w:hAnsi="Times New Roman" w:cs="Times New Roman"/>
          <w:sz w:val="24"/>
          <w:szCs w:val="24"/>
          <w:lang w:val="en-CA"/>
        </w:rPr>
        <w:t xml:space="preserve">resources and the evident needs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individual students are combining with a de-emphasis of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rigid grade standards to bring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forward a new look at the learning process and the means to re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alize an appropriate pattern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education for students who will live out much of their lives in the 21st century.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 developments already under way, and others that may be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anticipated in the near future;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there is already considerable evidence of the trend to which I h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ave alluded. In its preliminary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statement a few weeks ago for example, CORE, which is the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Committee on the Reorganization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Secondary Schools, emphasized the fact that the educational system must be ongoing, flexible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centred on the human needs of the students that it is design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ed to serve. The Interim Report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this Committee is expected in the fall and I anticipate that it wi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ll provide important guidelines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 the future of our secondary schools. And I would like to p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oint out that on this committee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students take an active part as well .so that we are get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ting the input from the clients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who receive the service from the educational system.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Again, a memorandum that was distributed in February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emphasized the fact that course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names, that is course designations such as university entra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nce, general and combined, will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no longer be used in our high schools but rather from the tota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 range of courses available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these formerly separate patterns, schools will be encouraged to pro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vide programs more specifically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suited to individual student needs. A number of the curr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iculum councils - these are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bodies that are presently studying future developments in individual sub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ject areas - will be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reporting this year and it is anticipated that their recommenda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>tions will further serve to en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dorse a more flexible curriculum design geared to individual interests.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We are beginning the task of identifying such further steps as may b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 necessary. In this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regard the area of language teaching and programs for child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ren of Indian-Metis ancestry at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both the elementary and secondary levels are high on our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list of priorities. Further in keeping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with this government's avowed belief in the nece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ssity to strengthen the province's cultural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mosaic, my department has under active study the question 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f the lowering of the grades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which language instruction may be introduced. It is proposed tha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 children starting even at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kindergarten level might be able to take such subjects 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s Cree or </w:t>
      </w:r>
      <w:proofErr w:type="spellStart"/>
      <w:r w:rsidR="00566891">
        <w:rPr>
          <w:rFonts w:ascii="Times New Roman" w:hAnsi="Times New Roman" w:cs="Times New Roman"/>
          <w:sz w:val="24"/>
          <w:szCs w:val="24"/>
          <w:lang w:val="en-CA"/>
        </w:rPr>
        <w:t>Saulteaux</w:t>
      </w:r>
      <w:proofErr w:type="spellEnd"/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, Ukrainian,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German and perhaps others, anywhere where the ethnic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enrolment and the corresponding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interest could warrant such innovation. A bill dealing with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>French as a second language, in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keeping with the Parliament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of Canada's declaration in this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regard, will be introduced later .during this session and I'm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sure will be of interest to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House when it is introduced.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Since the kind of changes to which I have alluded will necessitate a considerable change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the attitude and behaviour of students, teachers and adminis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trators alike, it is recognized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that they will not be accomplished overnight and that they will li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kely go ahead on a broken front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 schools and school systems and people show themselves ready to assume new responsibilities.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 all of these developments the department and the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Curriculum Branch, specifically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branch itself, must play an important role, not only because certain fu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ndamental patterns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within the educational system are defined most efficiently though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perhaps not exclusively at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provincial level, but also because of the necessity to provide fo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r the functional development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services to establish and to maintain liaison between the varyin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g levels of decision-making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of adequate </w:t>
      </w:r>
      <w:proofErr w:type="spellStart"/>
      <w:r w:rsidRPr="00CE15FF">
        <w:rPr>
          <w:rFonts w:ascii="Times New Roman" w:hAnsi="Times New Roman" w:cs="Times New Roman"/>
          <w:sz w:val="24"/>
          <w:szCs w:val="24"/>
          <w:lang w:val="en-CA"/>
        </w:rPr>
        <w:t>evaluatory</w:t>
      </w:r>
      <w:proofErr w:type="spell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procedures in regard to a total provincial instructional design.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provincial curriculum is perceived specificall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y as centering on three primary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functions: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(1) The development of provincial programs that seek to m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aintain continuity and cohesion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through the provision of a broad frame of reference rather than through a narrow prescription;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(2)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act of involvement and the necessary professional de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velopment of the administrators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teachers;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( 3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>) the stimulation, encouragement and support of p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lanned, innovative practices at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provincial and at local levels; and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(4)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to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work with local schools and school systems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in the adaptation of provincial programs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in the construction of special programs to meet local needs.</w:t>
      </w:r>
    </w:p>
    <w:p w:rsidR="00566891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Members are already aware that over the past few ye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ars both the department and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High School Examination Board have progressively reduced their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involvement in central external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examinations. Increasingly the task of measurement and eva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luation has been transferred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schools to parallel their increasing involvement in curricu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lum development and the greater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flexibility of course and subject treatment. Amongst other amendme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>nts to the education department ac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t, which will be presen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ted very shortly for your consideration will be one abolishing the High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School Examination Board. This change has been discussed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with and agreed to by all those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bodies represented on the High School Examination Board, including the universities. The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monies formerly diverted to the functions of the High Schoo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 Examination Board will now be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applied to providing a central testing service which will dev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elop diagnostic and achievement tests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on a province-wide basis to include a scoring and evaluation serv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ice. These tests will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 used to assist pupils, teachers and parents in educational progres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s and standards for diagnostic,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remedial and educational guidance programs and purposes.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As part of this testing service, it is proposed that the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department will assume the cost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the SACU tests for all those Grade 12 students planning to go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on to </w:t>
      </w:r>
      <w:proofErr w:type="spellStart"/>
      <w:r w:rsidR="00566891">
        <w:rPr>
          <w:rFonts w:ascii="Times New Roman" w:hAnsi="Times New Roman" w:cs="Times New Roman"/>
          <w:sz w:val="24"/>
          <w:szCs w:val="24"/>
          <w:lang w:val="en-CA"/>
        </w:rPr>
        <w:t>post secondary</w:t>
      </w:r>
      <w:proofErr w:type="spellEnd"/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education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either in Manitoba or elsewhere. For the benefit of some members, who I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am sure as I throw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out abbreviations they will feel as I did when I had these abbre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viations thrown at me, I didn't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know what they meant, SACU stands for Service for Admission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to University and Colleges. Now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since these tests will be free to Manitoba residents. it is assume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d that they will become part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admission documents required by our three provincial un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iversities and by our community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colleges, to be used in conjunction with school based academi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c achievements in the admission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procedures of these universities. The groundwork for these c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>hanges was laid by the research directors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of our department and I would now like to touch upon some of their functions.</w:t>
      </w:r>
    </w:p>
    <w:p w:rsidR="00CE15FF" w:rsidRPr="00CE15FF" w:rsidRDefault="00CE15FF" w:rsidP="00566891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One new function is the co-ordination and development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both within the department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outside of the growing use of electronic methods of data g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athering and retrieval. Work 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already under way within the department in converting teacher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records to punch card and tape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form, and in fact we have already been able to make use of the existing data in severa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l small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research projects done internally. In addition, the directorate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is working nationally with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Dominion Bureau of statistics and with other provinces to produce st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andardized forms and procedures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 data gathering and retrieval in a number of areas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which lend themselves most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conveniently and effectively to these problems. Locally, a Man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itoba education information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access system has been set up jointly with a number of school div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isions which are venturing into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electronic data· processing to ensure that our growing involvem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ent. </w:t>
      </w:r>
      <w:proofErr w:type="gramStart"/>
      <w:r w:rsidR="00566891">
        <w:rPr>
          <w:rFonts w:ascii="Times New Roman" w:hAnsi="Times New Roman" w:cs="Times New Roman"/>
          <w:sz w:val="24"/>
          <w:szCs w:val="24"/>
          <w:lang w:val="en-CA"/>
        </w:rPr>
        <w:t>in</w:t>
      </w:r>
      <w:proofErr w:type="gramEnd"/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this medium proceeds 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 cooperative basis. One example of this cooperation was a rece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nt grant to the Winnipeg School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Division for research and development in electronic data processing. 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research and planning involvement of the departm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ent have been growing. Steadily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through the research directorate. Internally, the direct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or and his assistants are members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basic planning team for the government's newly developed PPBP which is th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 Planning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Programming Budgeting Process. In addition they provide advice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, consultation and professional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services for a number of research projects that are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now being carried out by other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directorates. The directorate is also responsible for the distributio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n. </w:t>
      </w:r>
      <w:proofErr w:type="gramStart"/>
      <w:r w:rsidR="00566891">
        <w:rPr>
          <w:rFonts w:ascii="Times New Roman" w:hAnsi="Times New Roman" w:cs="Times New Roman"/>
          <w:sz w:val="24"/>
          <w:szCs w:val="24"/>
          <w:lang w:val="en-CA"/>
        </w:rPr>
        <w:t>of</w:t>
      </w:r>
      <w:proofErr w:type="gramEnd"/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funds to support research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projects within the province. An example of the type 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f projects supported were given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the recently tabled annual report of the department which all members have received.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would like now to make mention of a number of change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s we have made in the interests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efficiency - and economy I hope. We have decided to end 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he operations of our Attendance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Branch. As far as could be determined, the branch was simpl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y duplicating work already done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the schools in compiling attendance records and the orig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inal rationale for the branch's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existence no longer applies. The branch will formally cease operations in September and its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termination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should represent a saving of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>about $30,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 a ye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ar. Also, we are establishing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central bulk purchasing system. The purpose of this will be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, we hope, to lower the cost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purchasing equipment for the schools. The best example I can th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ink of "Offhand is the purchase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school buses which we hope will be done on a central bulk pu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rchasing basis and I think that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some savings can be realized. At the same time we are taking 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very close look at our present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policy regarding the supplying of texts, that is textbooks, and I anticipate being abl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 to effect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further economies in that area. We couldn't move in this ar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ea this year, but hopefully for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next year we will come up with some new ideas.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should now like to touch, Mr. Chairman, on develop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ments in the area of vocational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high schools. Now as members are aware, the Federal Gove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rnment has approved so far five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regional comprehensive vocational schools. They are loc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ated in Selkirk, Dauphin, Metro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East, Metro West and Swan Valley. Tenders have been rece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ived and construction contracts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have been awarded for the schools at Dauphin and Selkirk. W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 hope that the projects in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other three areas mentioned will also be moving forward very soon.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Consideration is also being given to submissions whic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h have been received from other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areas in the province, and occupational interest in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ventories and surveys are being conducted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by our vocational high school directorate in cooperation with l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ocal authorities in a number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these areas. During the coming year we hope to establish future priorities in terms of establish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needs for accommodation and broader training in other areas of Manitoba.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I would like to say at this point a word, Mr. Chairma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n, about vocational high school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grants which are included in the estimates under Financial Su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pport Services. Now these funds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provide for adult evening schools. They include the citizenshi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p classes offered by the school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divisions and for the establishment and operating grants or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50 percent courses in business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education, vocational and industrial courses, and grants for practical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art subjects like industrial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art shops and home economics. The steady growth 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of these various classes in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schools is a matter of great satisfaction to the government, not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only in adult education but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vocational subjects and home economics. The increasing prov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ision for adult evening classes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all kinds reflect the growing interest in education as a continu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ing process in the lives of 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citizens as well as a community interest in making wider use 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f our school facilities. At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same time, increasing provision of business education and vo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cational industrial courses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practical arts and home economics classes assures that a wider ran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ge of educational opportunities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and choice of. </w:t>
      </w:r>
      <w:proofErr w:type="gramStart"/>
      <w:r w:rsidRPr="00CE15FF">
        <w:rPr>
          <w:rFonts w:ascii="Times New Roman" w:hAnsi="Times New Roman" w:cs="Times New Roman"/>
          <w:sz w:val="24"/>
          <w:szCs w:val="24"/>
          <w:lang w:val="en-CA"/>
        </w:rPr>
        <w:t>subjects</w:t>
      </w:r>
      <w:proofErr w:type="gramEnd"/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is being made available to more of our Manitoba students who have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been restricted for so long to a limited academically-oriente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d program. These latter courses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will also serve as excellent preparation for admission to our community colleges.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We have one major alteration in the vocational high school grant system, or grant structure.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Effective September 1 an additional per capita grant will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be available to unitary school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divisions which operate recognized business education and/or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industrial vocational courses.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addition to the regular grants earned under the present fou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ndation program, a per capita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grant of $325 per pupil per annum will be payable on behalf of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 industrial vocational students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$125 per pupil per annum for business education studen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ts. In this way we hope to make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possible the attendance of more pupils at high schools offe</w:t>
      </w:r>
      <w:r w:rsidR="00566891">
        <w:rPr>
          <w:rFonts w:ascii="Times New Roman" w:hAnsi="Times New Roman" w:cs="Times New Roman"/>
          <w:sz w:val="24"/>
          <w:szCs w:val="24"/>
          <w:lang w:val="en-CA"/>
        </w:rPr>
        <w:t xml:space="preserve">ring such programs who are from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other divisions and to recognize the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higher costs of these programs.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Members will be further interested to hear that we have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revised our grant system in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area of special education. The present grant structure fo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>r special education provides mo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nies to school divisions on the basi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 of handicapped children being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enrolled in special categories and special classes. There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has to be a minimum of eight -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children with the same handicap enrolled in a class, which is cert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ified by the health authorities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as belonging to that particular category in order for special educational grants to be paid.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There are five accepted categories - mentally retarded, physically handicapped,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mentally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disabled, the hard of hearing and the visually impaired. But they we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re not in themselves indicative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the need to support financially special services, a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nd other types of educationally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handicapped children. and particularly children with perc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eptual handicaps, those who are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culturally different, and the environmentally deprived, and in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the past some of these children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have been labelled mentally retarded and placed in appropriate classes,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sometimes, perhaps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deliberately, in order to obtain for them more individualized ap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proach than could be offered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the regular stream, and in all too many cases for the sake of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administrative convenience. Mr.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Chairman, research and experience in numerous pilot projects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in many other jurisdictions has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clearly indicated that this approach was totally improper for 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he latter named categories,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fact it did them more harm than good. As long as financi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al support for special services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was tied to the special class concept, to the categorization, there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would be a tendency to extend,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mostly for administrative purposes, special class establishm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ents and to continue thereby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misplace into the special class children who are educationally handicapped rather than me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ntally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retarded.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Thus effective September 1, 1970, we will discontinue the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enrolment formula for teachers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special education classes and will substitute a formula which will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allow a more flexible handling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instruction, allowing school boards to determine whethe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r they will discontinue some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special classes and place special class teachers in regular cla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sses for at least part of their </w:t>
      </w:r>
      <w:r w:rsidR="005F583D">
        <w:rPr>
          <w:rFonts w:ascii="Times New Roman" w:hAnsi="Times New Roman" w:cs="Times New Roman"/>
          <w:sz w:val="24"/>
          <w:szCs w:val="24"/>
          <w:lang w:val="en-CA"/>
        </w:rPr>
        <w:t>time. The new formula is o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ne authorized teacher for each 500 pup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ils in a division. In addition,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there will be an authorized teacher grant calculated on the basis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of one teacher for each 2, 500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pupils in unitary school divisions for specialist purposes.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Mr. Chairman, at this point I would like to make a few comments about our Youth and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Manpower Branch, and as well, I would like to remark on the 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oncept of the community college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 itself. The purpose of the community college is to meet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specific educational needs of a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large segment of the community - high school graduates, you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ng people, even though they may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not be high school graduates, also mothers and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fathers, mature workers and pre apprentice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trainees. It should provide courses, many non-degree cours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es in arts and sciences, trades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technologies, business procedure, commercial practic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es, public services, and in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broad field of adult education, all within one building or int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egrated complex, and Manitoba's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three community colleges will continue to produce skilled artisa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ns in many different trades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technologies, to develop supervisory and management personnel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in various fields of supply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service. They will also provide training for adult workers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who want to become qualified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some new trade or who want to become better qualified in the field of w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ork in which they already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earn their living. We have introduced new opportunities for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course study. Young people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adults will be able to enroll in one or more selected segme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nts of the complete course. For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example, a young man wanting to take training in front-end ali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gnment will be able to do so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future without having to enroll in the complete automoti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ve mechanics course. Similarly,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 young woman wishing to study personnel relation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 as a segment of the hotel and restaurant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management course, will be able to do just that without having 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 enroll in the whole course as </w:t>
      </w:r>
      <w:r w:rsidR="00DC7C1B" w:rsidRPr="00CE15FF">
        <w:rPr>
          <w:rFonts w:ascii="Times New Roman" w:hAnsi="Times New Roman" w:cs="Times New Roman"/>
          <w:sz w:val="24"/>
          <w:szCs w:val="24"/>
          <w:lang w:val="en-CA"/>
        </w:rPr>
        <w:t>here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>tofore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community colleges will provide basic opportunities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for enrolment in many personal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improvement subjects such as public affairs, philosophy, recreation and crafts, which w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ill help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mature people to understand themselves and others better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, and through which they may be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helped to live fuller lives in various forms of self-expression.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Graduates who obtain diplomas or certificates from any on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 of Manitoba's three community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colleges may be assured that these symbols of competence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will be readily recognized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accepted by prospective employers in all parts of Canada. 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he contents of the courses have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been carefully developed and assessed by advisory boards and committees on which l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ocal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leaders in business, industry, labour and education serve with d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istinction. Courses are topical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to begin with and their content is kept in line with changes that take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place in methods and techniques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business, industry and public service institutions.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community college courses themselves are high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ly regarded by the business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industrial world and the graduates find ready acceptance as new employees in many different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sectors of the economy. Although it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does not directly prepare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students for higher education, some will go on to take univers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ity work; </w:t>
      </w:r>
      <w:proofErr w:type="gramStart"/>
      <w:r w:rsidR="00DC7C1B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community college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stands on its own. It develops and operates its own courses; it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confers its own diplomas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certificates; its business is to produce well-trained, competent graduates who because of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their skills and their knowledge will find immediate employmen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t upon graduation. Furthermore,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perhaps most important, the community college is closely ident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ified with the entire community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young people and adults. Through many different k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inds of courses, short term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long term, for pre-employment as well as self-improvement, 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ourses offered day or night six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days a week all the year round, the community college will serve a large section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of the entire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community.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Members will be interested to know that we have creat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ed a Community Colleges Council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to replace the old provincial technical and advisory board in the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role of advising the department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regarding future development of the college. It is compose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d of 20 members, including four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faculty members from the colleges, four students, seven l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ay members, the two chairmen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advisory boards from the Assiniboia College and Keew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atin College, and three members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from government departments. In this task they will be aide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d by the Review and Development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Branch of our department, a small recently developed staff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unit whose primary assignments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include the assessment and analysis of on-going programs and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projection of needs as they may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 seen and dealt with for the future.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The other division of the Youth and Manpower branch 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oncerned with the operations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many programs offered through the community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 colleges and through extension agencies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across the province has been reorganized on the basis of two </w:t>
      </w:r>
      <w:r w:rsidR="00DC7C1B" w:rsidRPr="00CE15FF">
        <w:rPr>
          <w:rFonts w:ascii="Times New Roman" w:hAnsi="Times New Roman" w:cs="Times New Roman"/>
          <w:sz w:val="24"/>
          <w:szCs w:val="24"/>
          <w:lang w:val="en-CA"/>
        </w:rPr>
        <w:t>funda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mental factors. (1) It provides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a much greater degree of decentralization than heretofore; 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>(2) it provides for participa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tive management which means that greater numbers of student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s, staff and administrators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members of the community at large will be involved in the operations of the community colleges.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As a result of this we are already working towards less arbitrary a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nd more realistic prerequisites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for course entry, for more and more open-ended curric</w:t>
      </w:r>
      <w:r w:rsidR="00DC7C1B">
        <w:rPr>
          <w:rFonts w:ascii="Times New Roman" w:hAnsi="Times New Roman" w:cs="Times New Roman"/>
          <w:sz w:val="24"/>
          <w:szCs w:val="24"/>
          <w:lang w:val="en-CA"/>
        </w:rPr>
        <w:t xml:space="preserve">ula to allow for greater degree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of individual progress, particularly respecting the backgrou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nd experience that an adult may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have had before coming back for further education, and for many more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part-time student possibilities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than have existed in the past. Our general reorientation is towards a greater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encouragement for people who may feel that they are under-em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ployed or simply under-involved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citizens to do something about it by increasing their pote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ntial through part-time or full time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study. At the same time greater attempts are being made to program e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ffectively both for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socio-economic community needs and from an individual poin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t of view in terms of providing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opportunities for people who are looking for newer avenues of self-fulfillment.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Some statistics regarding enrolment at our community c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olleges may be of interest. Red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River Community College over the past calendar year has had 1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>3,780 students; including over 6,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 in evening and part-time study; Assiniboia Community College in Brando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>n, 2,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754;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Keewatin C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>ommunity College at The Pas, 1,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263; a special course taken in most cases to remote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parts of the province to meet special needs arising from technological changes or through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shifts or occupational direction, 952 students; in management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development and training in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industry courses offered across a spectrum of business and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industry, over 4, 000; in adult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academic upgrading courses offered in 35 Manitoba communit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>ies as well as in the community colleges themselves, over 3,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000. Thus there a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re well over 27,000 Manitoba students who have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been involved in our community colleges in the past year and I f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eel that we may look forward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future development with both interest and justifiably high expectations.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One of the areas in which I am taking a very close look,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and of which I don't think I'm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going to have an immediate answer but I feel we must find an an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swer, is the problem of seeking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the answer to the present high cost of school construction. The presen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t method of school construction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 don't think can be continued, because I feel that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with the open-end procedures we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follow today there isn't the kind of control that there should be plac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ed on the cost of construction.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And there are a number of alternatives that we're studying now. One of the m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ethods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perhaps might be to standardize on some of the schools, per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haps the number of plans and to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use the same plans in a number of areas. There• s some merit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in those proposals and there is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some demerits in those proposals as well.</w:t>
      </w:r>
    </w:p>
    <w:p w:rsidR="00CE15FF" w:rsidRPr="00CE15FF" w:rsidRDefault="001D25BA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There is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also the question of establishing guidelines which we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could get from other provinces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which have used similar approaches, and to establish guid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elines and criteria and the use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of materials and establish in advance and lay out in advance the actual dollar cost of the build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ing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before construction is started. And I'm looking at the possibil</w:t>
      </w:r>
      <w:r>
        <w:rPr>
          <w:rFonts w:ascii="Times New Roman" w:hAnsi="Times New Roman" w:cs="Times New Roman"/>
          <w:sz w:val="24"/>
          <w:szCs w:val="24"/>
          <w:lang w:val="en-CA"/>
        </w:rPr>
        <w:t>ity of accepting proposals from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 the construction trade with regard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to certain buildings or certain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schools that might be required and as required. We are also 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hinking that perhaps instead of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the school division being the prime builder and the employer of the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architect, perhaps the province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should build the schools and turn them over to the school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division. Now I'm just throwing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these out and members opposite may jump on them if they 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will, but I'm throwing them out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simply to indicate that these are some of the areas and perha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ps members opposite can give me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some other proposals because I certainly am looking for suggestions. They'r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 not firmed up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yet; we have not finalized, we simply are recognizing the fact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we must seek an answer to </w:t>
      </w:r>
      <w:r w:rsidR="00CE15FF" w:rsidRPr="00CE15FF">
        <w:rPr>
          <w:rFonts w:ascii="Times New Roman" w:hAnsi="Times New Roman" w:cs="Times New Roman"/>
          <w:sz w:val="24"/>
          <w:szCs w:val="24"/>
          <w:lang w:val="en-CA"/>
        </w:rPr>
        <w:t>the high cost of construction.</w:t>
      </w:r>
    </w:p>
    <w:p w:rsidR="00CE15FF" w:rsidRPr="00CE15FF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You know it has often been said, Mr. Chairman, that my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department is a bottomless pit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in terms of spending the taxpayers' money, and there are certainly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grounds for such a description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when we consider the problem of rising costs on school con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struction alone, the one I just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referred to. But in seeking to keep costs down we can never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become over-zealous in terms of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allowing the quality of Manitoba's educational system to lag. We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cannot afford to do that and I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don't think any member of this House would suggest that we do t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hat. Those are the two foremost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goals of a contradictory nature that we must strive for - economy and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efficiency on the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one hand and yet a program that will meet the needs of our peop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le and our teachers, adults and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>citizens of Manitoba.</w:t>
      </w:r>
    </w:p>
    <w:p w:rsidR="00747140" w:rsidRPr="001D25BA" w:rsidRDefault="00CE15FF" w:rsidP="00CE15FF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CE15FF">
        <w:rPr>
          <w:rFonts w:ascii="Times New Roman" w:hAnsi="Times New Roman" w:cs="Times New Roman"/>
          <w:sz w:val="24"/>
          <w:szCs w:val="24"/>
          <w:lang w:val="en-CA"/>
        </w:rPr>
        <w:t>Mr. Chairman, these are my preliminary remarks, if you want to call them preliminary.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I'm sure members opposite will have some comments to make on </w:t>
      </w:r>
      <w:r w:rsidR="001D25BA">
        <w:rPr>
          <w:rFonts w:ascii="Times New Roman" w:hAnsi="Times New Roman" w:cs="Times New Roman"/>
          <w:sz w:val="24"/>
          <w:szCs w:val="24"/>
          <w:lang w:val="en-CA"/>
        </w:rPr>
        <w:t xml:space="preserve">them and hopefully I'll be able </w:t>
      </w:r>
      <w:r w:rsidRPr="00CE15FF">
        <w:rPr>
          <w:rFonts w:ascii="Times New Roman" w:hAnsi="Times New Roman" w:cs="Times New Roman"/>
          <w:sz w:val="24"/>
          <w:szCs w:val="24"/>
          <w:lang w:val="en-CA"/>
        </w:rPr>
        <w:t xml:space="preserve">to give them some of the answers which I know that they're waiting for. </w:t>
      </w:r>
      <w:r w:rsidRPr="001D25BA">
        <w:rPr>
          <w:rFonts w:ascii="Times New Roman" w:hAnsi="Times New Roman" w:cs="Times New Roman"/>
          <w:sz w:val="24"/>
          <w:szCs w:val="24"/>
          <w:lang w:val="en-CA"/>
        </w:rPr>
        <w:t>Thank you.</w:t>
      </w:r>
    </w:p>
    <w:sectPr w:rsidR="00747140" w:rsidRPr="001D25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40"/>
    <w:rsid w:val="001D25BA"/>
    <w:rsid w:val="00296857"/>
    <w:rsid w:val="003C0452"/>
    <w:rsid w:val="00566891"/>
    <w:rsid w:val="005F583D"/>
    <w:rsid w:val="006802EB"/>
    <w:rsid w:val="00731969"/>
    <w:rsid w:val="00747140"/>
    <w:rsid w:val="007E78CF"/>
    <w:rsid w:val="00814610"/>
    <w:rsid w:val="009E23B1"/>
    <w:rsid w:val="00A947EC"/>
    <w:rsid w:val="00A97EE0"/>
    <w:rsid w:val="00B825C2"/>
    <w:rsid w:val="00CE15FF"/>
    <w:rsid w:val="00D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44000-F7CC-4295-AF4E-BF5F400A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1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6611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42887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2016-09-17T21:21:00Z</dcterms:created>
  <dcterms:modified xsi:type="dcterms:W3CDTF">2016-09-17T21:21:00Z</dcterms:modified>
</cp:coreProperties>
</file>