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7"/>
        <w:gridCol w:w="850"/>
        <w:gridCol w:w="1559"/>
        <w:gridCol w:w="994"/>
        <w:gridCol w:w="1277"/>
        <w:gridCol w:w="1556"/>
        <w:gridCol w:w="992"/>
      </w:tblGrid>
      <w:tr w:rsidR="00AD06DF" w:rsidRPr="00D9483F" w:rsidTr="004548AB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AD06DF" w:rsidRPr="00D9483F" w:rsidTr="004548AB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6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3</w:t>
            </w:r>
            <w:r w:rsidRPr="000C3E5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Remarques préliminaires à l’étude des crédits du ministère de l’</w:t>
            </w:r>
            <w:r w:rsidRPr="0056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Éducation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17 mai 2007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AD06D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M.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Ron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Liepert</w:t>
            </w:r>
            <w:proofErr w:type="spellEnd"/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proofErr w:type="spellStart"/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Ministre</w:t>
            </w:r>
            <w:proofErr w:type="spellEnd"/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 de </w:t>
            </w:r>
            <w:proofErr w:type="spellStart"/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l’</w:t>
            </w: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Éducation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6DF" w:rsidRPr="00D9483F" w:rsidRDefault="00AD06DF" w:rsidP="004548A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2E39DD" w:rsidRDefault="002E39DD"/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Mr. </w:t>
      </w:r>
      <w:proofErr w:type="spellStart"/>
      <w:r w:rsidRPr="00AD06DF">
        <w:rPr>
          <w:rFonts w:ascii="Times New Roman" w:hAnsi="Times New Roman" w:cs="Times New Roman"/>
          <w:b/>
          <w:bCs/>
          <w:sz w:val="24"/>
          <w:szCs w:val="24"/>
          <w:lang w:val="en-CA"/>
        </w:rPr>
        <w:t>Liepert</w:t>
      </w:r>
      <w:proofErr w:type="spellEnd"/>
      <w:r w:rsidRPr="00AD06DF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: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Thank you very much, Mr. Chairman. Today I am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pleased to present the Education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budget for the 2007-2008 fiscal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year. Before I do, I should agai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introduce my deputy minister, </w:t>
      </w:r>
      <w:proofErr w:type="spellStart"/>
      <w:r w:rsidRPr="00AD06DF">
        <w:rPr>
          <w:rFonts w:ascii="Times New Roman" w:hAnsi="Times New Roman" w:cs="Times New Roman"/>
          <w:sz w:val="24"/>
          <w:szCs w:val="24"/>
          <w:lang w:val="en-CA"/>
        </w:rPr>
        <w:t>Keray</w:t>
      </w:r>
      <w:proofErr w:type="spellEnd"/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 Henke. We did have the op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portunity yesterday to answer a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number of questions from our op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position members, and hopefully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we’ll get to answer the rest of them toda</w:t>
      </w:r>
      <w:bookmarkStart w:id="0" w:name="_GoBack"/>
      <w:bookmarkEnd w:id="0"/>
      <w:r w:rsidRPr="00AD06DF">
        <w:rPr>
          <w:rFonts w:ascii="Times New Roman" w:hAnsi="Times New Roman" w:cs="Times New Roman"/>
          <w:sz w:val="24"/>
          <w:szCs w:val="24"/>
          <w:lang w:val="en-CA"/>
        </w:rPr>
        <w:t>y.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This year’s budget totals just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over $5.6 billion, which is an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increase of $195 million or 5.2 per 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 more funds for the classroom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over the previous year. Some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specifics are: $4.2 billion in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operating support to school boards,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$357 million for the teachers’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pension plan, $144 million for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accredited private schools, $87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million for basic education programs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that support school boards such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as the learning resource centre, hig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h-speed networking, technology,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and provincial Microsoft licensing, those sorts of items.</w:t>
      </w: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There’s $86 million for program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ministry support – that, of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course, being our department – and $925 million for school facilit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ies.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 want to repeat that: almost a bill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ion dollars for infrastructure,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which includes $417 million for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lant operations and maintenance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and $508 million for the infrastructure portion of that expenditure.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All school authorities will receive a 3 per cent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increase in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operational grants for the 2007-2008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school year. In addition, other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grant adjustments reflect the init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ial planning and development of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strategies to address the three prio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rities in the Premier’s mandate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letter. Of course, they are explore early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learning opportunities,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improve high school completion rates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find a reasonable solution to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the teacher’s unfunded pension liabil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ity, and a fourth one that I’ve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added, which is build schools where students live and learn.</w:t>
      </w: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Seven million dollars this year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going to be added to provide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early learning opportunities for childr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en as young as three and a half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with English as a Second Langua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ge programming. Early childhood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services programs for children aged thr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ee and a half to six years with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mild or moderate special needs or 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young as two and a half to six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years with severe needs are availabl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for children who are enrolled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in a recognized program, whet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her at their local school or an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accredited private ECS operator such as Head Start.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A $2 million dollar increase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to extend English as a Second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Language funding to accredited priv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ate schools; $4.5 million is to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support improvements toward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existing career and technology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studies, facilities, and equipment; a $33 million increase for special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-needs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funding; an $11 million increas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in transportation funding and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continuation of the 15 and a half million dollar fuel price contingency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fund; $6 million in new fund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ing for technology initiatives,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including more video conferencing suites; $9 million for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lastRenderedPageBreak/>
        <w:t>enha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ncing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teachers’ skills and abilities and the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mplementation of new curricula,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which includes the third year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social studies implementation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and the first year of math implementation.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Provincial support for the small clas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size initiative will increase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$35 million, which is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 21.7 per 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 increase, and that’s for the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retention of 2,500 new teachers who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were hired under the initiative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to maintain reduced class sizes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This brings funding to $194.5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million this fiscal year, which will provide all school ju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risdictions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with a 3 per cent increase in thei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class size funding. The total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government funding for CSI to date is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about one-half billion dollars,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almost $500 million to reduce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class sizes throughout Alberta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schools.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In addition, the government continues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its support for innovation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and student learning through 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$73 million commitment to the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Alberta initiative for school imp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rovement, better known as AISI.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Students and young children with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special health needs will also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benefit from the continued investment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 more than $44 million to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the 17 student health partners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hips across the province. These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partnerships provide access to health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care professionals and related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support services. Under Budget 2007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funding for the student health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initiative will increase from $41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.7 million to $44.2 million, an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increase of two and a half million dollars, or some 6 per cent.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I’d like to deal briefly with school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infrastructure. The government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has provided significant funding for sc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hool infrastructure in the past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and continues to do so. A total of 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arly $1.3 billion over the next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three years has been allocated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previously announced projects.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The 2007-2010 capital plan includes funding for 71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previously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announced new or major moder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nization projects, including 12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schools to be opened in 200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7-2008. An additional 8,226 new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student spaces will be opening in thi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coming school year across the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province. In the 2007-2008 budget a total of $508 millio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is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allocated for school facilities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nfrastructure, with $96 million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directed toward the infrastructure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maintenance and renewal grants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to school boards for school buildin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upgrades or to improve school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energy efficiency.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The capital plan also includes an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dditional $300 million over the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next three years, which has not 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et been allocated to individual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school projects. The government will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examine alternative procurement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methods to deliver school infrast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ructure, and this allocation of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$100 million per year over the next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hree years should help to drive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some creative solutions for school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construction. Treasury Board is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taking a lead in planning on behalf of government.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I’d like to deal briefly with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teachers’ unfunded pension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liability. It’s one of the priorities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Premier assigned to me. The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teachers’ contribution to their portion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the pre-1992 liability is and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will continue to be a disincentive 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teachers because just over half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of the teachers in the system tod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ay did not have any role in its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creation, and there is a feeling by thos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teachers that they should not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be responsible for solving it. Paying off the past liability can be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is a barrier to the recruitment and retention of teachers.</w:t>
      </w: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In 1992 the government of Alberta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agreed to pay two-thirds of the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liability, which now stands at $4.3 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illion, while teachers accepted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to pay for one-third, which is now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$2.1 billion. This totals $6.4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billion and is increasing every day. At present contrib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ution rates </w:t>
      </w: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the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liability will grow to about $14 billio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by 2044, and it won’t be paid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off until 2060. This means an incr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easing number of young teachers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will pay for the pre-1992 liability for the next five decades.</w:t>
      </w: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I presented the ATA with an open and cle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 process for resolving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this issue. A task force will be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struck to research and consider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options to address the teachers’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share of the unfunded pre-1992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pension liability, and as a sign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good faith the government of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Alberta will assume for one year 100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per cent of contributions for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teachers with up to five year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s’ experience, which equates to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approximately $1,400 on a salary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$50,000 annually. Seventy-five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per cent of the contributions will be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aid for teachers with six to 10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years’ experience, which equat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 to approximately $1,300 on a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salary of $60,000 annually. For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teachers with 11 to 15 years of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experience the government will pick up 50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per cent of their contribution,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again, approximately $1,200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a salary of $75,000 annually.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Finally, 25 per cent of the contribut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ions for teachers with 16 to 20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years of experience will be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ccepted by government, and that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equates to approximately $650 on a salary of $80,000 annually.</w:t>
      </w: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This approach addresses the fa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ct that our youngest and newest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 xml:space="preserve">teachers are the most disadvantaged by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paying for a liability they did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not create. This initiative is intende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to create an environment that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allows the task force to have a pos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itive and constructive dialogue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with the various stakeholders. This lia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bility is the responsibility of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both parties and needs to be addre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ssed in an open and transparent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manner. We’re looking for fisc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ally responsible solutions that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provide value to Alberta student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s, teachers, and taxpayers with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specific attention to the recruitment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retention of new teachers. </w:t>
      </w: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I believe that Budget 2007 sustains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our excellent education system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and manages areas of growt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h. Our department business plan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provides particular focus to the four priorities. Education is abo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innovation, outcomes, student succe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ss, and collaboration. Everyone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has a role, and that’s why I’ve 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istened and discussed education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matters with a range of individua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ls and associations. All of our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futures depend on what happens in the K to 12 system, so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 intend to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reach out beyond the usual ed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ucation community and talk with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business lea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ders and other decision-makers. </w:t>
      </w: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Since my appointment I hav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met with school board chairs,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trustees, principals, teachers, parent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s, and students. Those meetings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have been open and honest, and I’ve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had some excellent discussions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about school jurisdictions’ local chal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lenges as well as opportunities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involving collaboration and innovati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in delivering education. I’m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impressed by the good work going on in our education communit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y.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I’m supportive of and strongly believe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locally elected officials and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their ability and responsibility to make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decisions that are in the best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interest of their community.</w:t>
      </w: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  <w:lang w:val="en-CA"/>
        </w:rPr>
        <w:t>In closing, I want to emphas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ize that this budget underlines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government’s commitment to manage growth and the need to have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a plan for the future. I would ente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rtain any comments or questions </w:t>
      </w:r>
      <w:r w:rsidRPr="00AD06DF">
        <w:rPr>
          <w:rFonts w:ascii="Times New Roman" w:hAnsi="Times New Roman" w:cs="Times New Roman"/>
          <w:sz w:val="24"/>
          <w:szCs w:val="24"/>
          <w:lang w:val="en-CA"/>
        </w:rPr>
        <w:t>for the rem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ainder of the estimates period. </w:t>
      </w:r>
    </w:p>
    <w:p w:rsid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D06DF" w:rsidRPr="00AD06DF" w:rsidRDefault="00AD06DF" w:rsidP="00AD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D06DF">
        <w:rPr>
          <w:rFonts w:ascii="Times New Roman" w:hAnsi="Times New Roman" w:cs="Times New Roman"/>
          <w:sz w:val="24"/>
          <w:szCs w:val="24"/>
        </w:rPr>
        <w:t>Thank you.</w:t>
      </w:r>
    </w:p>
    <w:sectPr w:rsidR="00AD06DF" w:rsidRPr="00AD06DF" w:rsidSect="00AD06DF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DF"/>
    <w:rsid w:val="002E39DD"/>
    <w:rsid w:val="009D17C1"/>
    <w:rsid w:val="00A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1486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2012-07-30T22:00:00Z</dcterms:created>
  <dcterms:modified xsi:type="dcterms:W3CDTF">2012-07-30T22:17:00Z</dcterms:modified>
</cp:coreProperties>
</file>